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高频政务服务“跨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通办”事项清单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960" w:firstLineChars="3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960" w:firstLineChars="3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年底前实现“跨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县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通办”的事项（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ascii="仿宋" w:hAnsi="仿宋" w:eastAsia="仿宋"/>
          <w:color w:val="auto"/>
          <w:szCs w:val="21"/>
        </w:rPr>
      </w:pPr>
    </w:p>
    <w:tbl>
      <w:tblPr>
        <w:tblStyle w:val="3"/>
        <w:tblW w:w="90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268"/>
        <w:gridCol w:w="3362"/>
        <w:gridCol w:w="1458"/>
        <w:gridCol w:w="1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tblHeader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 w:cs="Times New Roman"/>
                <w:color w:val="auto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“跨省通办”事项</w:t>
            </w:r>
          </w:p>
        </w:tc>
        <w:tc>
          <w:tcPr>
            <w:tcW w:w="3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应用场景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Calibri"/>
                <w:color w:val="auto"/>
                <w:kern w:val="0"/>
                <w:sz w:val="24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szCs w:val="24"/>
                <w:lang w:bidi="ar"/>
              </w:rPr>
              <w:t>配合单位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申请人可异地网上申请内资企业及分支机构设立登记，不受企业住所地限制。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内资企业及分支机构变更登记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申请人可异地网上申请内资企业及分支机构变更登记，不受企业登记地限制。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内资企业及分支机构注销登记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申请人可异地网上申请内资企业及分支机构注销登记，不受企业登记地限制。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申请人可异地网上申请个体工商户设立登记，不受住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个体工商户变更登记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申请人可异地网上申请个体工商户变更登记，不受登记地限制。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个体工商户注销登记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申请人可异地网上申请个体工商户注销登记，不受登记地限制。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6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农民专业合作社设立登记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申请人可异地网上申请农民专业合作社设立登记，不受住所地限制。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农民专业合作社变更登记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申请人可异地网上申请农民专业合作社变更登记，不受登记地限制。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等线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农民专业合作社注销登记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申请人可异地网上申请农民专业合作社注销登记，不受登记地限制。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/>
                <w:color w:val="auto"/>
              </w:rPr>
            </w:pP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食品经营许可新办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申请人可异地网上申请食品经营许可新办，不受住所地限制。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食品小经营店备案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申请人可异地网上申请食品小经营店备案，不受住所地限制。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食品小摊点备案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申请人可异地网上申请食品小摊点备案，不受住所地限制。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食品小作坊许可证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申请人可异地网上申请食品小作坊许可证，不受住所地限制。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首次申请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补办申请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补办申请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注销申请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申请人可异地网上申请公共场所卫生许可（除饭馆 咖啡 酒吧 茶座）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延续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补证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补证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申请人可异地网上申请劳务派遣经营许可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粮食收购资格备案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申请人可异地网上申请粮食收购资格备案，不受住所地限制。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设立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，不受住所地限制。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变更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Calibri" w:eastAsia="宋体"/>
                <w:color w:val="auto"/>
                <w:lang w:val="en-US" w:eastAsia="zh-CN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申请人可异地网上申请人力资源服务许可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注销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，不受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登记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地限制。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县行政审批局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23AA"/>
    <w:rsid w:val="155F065D"/>
    <w:rsid w:val="271823AA"/>
    <w:rsid w:val="567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widowControl w:val="0"/>
      <w:spacing w:after="120" w:afterLines="0" w:afterAutospacing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2021-09-17T07:18:00Z</dcterms:created>
  <dc:creator>11:大梦</dc:creator>
  <cp:lastModifiedBy>11:大梦</cp:lastModifiedBy>
  <dcterms:modified xsi:type="dcterms:W3CDTF">2021-09-17T07:20:36Z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78C521A7EAC44B088D56D5DB99655AE8</vt:lpwstr>
  </property>
</Properties>
</file>