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代政办发〔202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38号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代县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代县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2021年政务公开工作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各乡（镇）人民政府，县直各有关单位：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代县</w:t>
      </w:r>
      <w:r>
        <w:rPr>
          <w:rFonts w:hint="eastAsia" w:ascii="仿宋" w:hAnsi="仿宋" w:eastAsia="仿宋" w:cs="仿宋"/>
          <w:sz w:val="32"/>
          <w:szCs w:val="32"/>
        </w:rPr>
        <w:t>2021年政务公开工作实施方案》已经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人民政府同意，现印发给你们，请认真贯彻落实。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代县</w:t>
      </w:r>
      <w:r>
        <w:rPr>
          <w:rFonts w:hint="eastAsia" w:ascii="仿宋" w:hAnsi="仿宋" w:eastAsia="仿宋" w:cs="仿宋"/>
          <w:sz w:val="32"/>
          <w:szCs w:val="32"/>
        </w:rPr>
        <w:t xml:space="preserve">人民政府办公室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代县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2021年政务公开工作实施方案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2021年是“十四五”开局之年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,是蹚出全面转型代县之路的关键一年。</w:t>
      </w:r>
      <w:r>
        <w:rPr>
          <w:rFonts w:hint="eastAsia" w:ascii="仿宋" w:hAnsi="仿宋" w:eastAsia="仿宋" w:cs="仿宋"/>
          <w:sz w:val="32"/>
          <w:szCs w:val="32"/>
        </w:rPr>
        <w:t>为加快政府职能转变，推动政府决策和管理服务更加透明规范，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促进</w:t>
      </w:r>
      <w:r>
        <w:rPr>
          <w:rFonts w:hint="eastAsia" w:ascii="仿宋" w:hAnsi="仿宋" w:eastAsia="仿宋" w:cs="仿宋"/>
          <w:sz w:val="32"/>
          <w:szCs w:val="32"/>
        </w:rPr>
        <w:t>政务公开工作提质升级，推进政府治理能力现代化，根据《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山西省人民政府办公厅关于印发</w:t>
      </w:r>
      <w:r>
        <w:rPr>
          <w:rFonts w:hint="eastAsia" w:ascii="仿宋" w:hAnsi="仿宋" w:eastAsia="仿宋" w:cs="仿宋"/>
          <w:sz w:val="32"/>
          <w:szCs w:val="32"/>
        </w:rPr>
        <w:t>山西省2021年政务公开工作要点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的通知</w:t>
      </w:r>
      <w:r>
        <w:rPr>
          <w:rFonts w:hint="eastAsia" w:ascii="仿宋" w:hAnsi="仿宋" w:eastAsia="仿宋" w:cs="仿宋"/>
          <w:sz w:val="32"/>
          <w:szCs w:val="32"/>
        </w:rPr>
        <w:t>》（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晋</w:t>
      </w:r>
      <w:r>
        <w:rPr>
          <w:rFonts w:hint="eastAsia" w:ascii="仿宋" w:hAnsi="仿宋" w:eastAsia="仿宋" w:cs="仿宋"/>
          <w:sz w:val="32"/>
          <w:szCs w:val="32"/>
        </w:rPr>
        <w:t>政办发〔2021〕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和《忻州市人民政府办公室关于印发忻州市2021年政务公开工作实施方案的通知》（忻政办发〔202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）要求</w:t>
      </w:r>
      <w:r>
        <w:rPr>
          <w:rFonts w:hint="eastAsia" w:ascii="仿宋" w:hAnsi="仿宋" w:eastAsia="仿宋" w:cs="仿宋"/>
          <w:sz w:val="32"/>
          <w:szCs w:val="32"/>
        </w:rPr>
        <w:t>，结合我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实际，制定本实施方案。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以习近平新时代中国特色社会主义思想为指导，准确把握新时代政务公开工作的职责定位和面临的新形势新要求，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全面贯彻落实国务院、省政府、市政府关于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2021年政务公开工作要求，</w:t>
      </w:r>
      <w:r>
        <w:rPr>
          <w:rFonts w:hint="eastAsia" w:ascii="仿宋" w:hAnsi="仿宋" w:eastAsia="仿宋" w:cs="仿宋"/>
          <w:sz w:val="32"/>
          <w:szCs w:val="32"/>
        </w:rPr>
        <w:t>坚持以人民为中心深化政务公开，不断扩大公开范围、提升公开质量、创新公开方式、拓展公开渠道，全力打造法治政府、服务型政府，以优异成绩庆祝中国共产党成立100周年。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（一）加大转型发展政策主动公开力度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1.形成“政务公开为转型”的工作导向。围绕省、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市、县</w:t>
      </w:r>
      <w:r>
        <w:rPr>
          <w:rFonts w:hint="eastAsia" w:ascii="仿宋" w:hAnsi="仿宋" w:eastAsia="仿宋" w:cs="仿宋"/>
          <w:sz w:val="32"/>
          <w:szCs w:val="32"/>
        </w:rPr>
        <w:t>关于转型发展的战略部署，对产业转型、项目转型、绿色转型、外贸转型、数字化转型、体制机制转型等方面政策加大主动公开力度，梳理汇总转型发展的政策文件、政策解读、具体举措、典型问题、落实情况及对公众关切的互动回应等，制作转型政策专栏、专题，及时在政府网站公布，方便各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sz w:val="32"/>
          <w:szCs w:val="32"/>
        </w:rPr>
        <w:t>主体找政策、办服务、解疑惑。（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县政府信息中心牵头，县</w:t>
      </w:r>
      <w:r>
        <w:rPr>
          <w:rFonts w:hint="eastAsia" w:ascii="仿宋" w:hAnsi="仿宋" w:eastAsia="仿宋" w:cs="仿宋"/>
          <w:sz w:val="32"/>
          <w:szCs w:val="32"/>
        </w:rPr>
        <w:t>直各部门、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2.提升“十四五”规划及政策措施的公开实效。主动公开本级政府“十四五”规划纲要和专项规划、空间规划、区域规划及配套政策文件，系统梳理本地历史规划（计划）并通过政府信息公开专栏集中公开。（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县发展改革局</w:t>
      </w:r>
      <w:r>
        <w:rPr>
          <w:rFonts w:hint="eastAsia" w:ascii="仿宋" w:hAnsi="仿宋" w:eastAsia="仿宋" w:cs="仿宋"/>
          <w:sz w:val="32"/>
          <w:szCs w:val="32"/>
        </w:rPr>
        <w:t>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直各有关部门、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3.主动公开建设法治政府、打造“六最”营商环境的政策措施。动态调整并及时公布政府部门权责清单，重大行政决策事项目录，证明事项告知承诺目录，行政审批中介服务事项清单，公共资源交易目录清单，政府性基金、涉企行政事业性收费、涉企保证金以及实行政府定价的经营服务性收费目录清单等，并针对与各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sz w:val="32"/>
          <w:szCs w:val="32"/>
        </w:rPr>
        <w:t>主体利益密切相关的事项，做好行政执法公开、政务服务公开、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sz w:val="32"/>
          <w:szCs w:val="32"/>
        </w:rPr>
        <w:t>监管公开和征地信息公开。有关部门还应当将制定和执行的与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sz w:val="32"/>
          <w:szCs w:val="32"/>
        </w:rPr>
        <w:t>主体相关的创业、创新、人才、规划、产业、项目、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sz w:val="32"/>
          <w:szCs w:val="32"/>
        </w:rPr>
        <w:t>、金融、税费、奖励、补贴等政策及时公开。（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行政审批局、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县发展改革局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财政局、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县市</w:t>
      </w:r>
      <w:r>
        <w:rPr>
          <w:rFonts w:hint="eastAsia" w:ascii="仿宋" w:hAnsi="仿宋" w:eastAsia="仿宋" w:cs="仿宋"/>
          <w:sz w:val="32"/>
          <w:szCs w:val="32"/>
        </w:rPr>
        <w:t>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监管</w:t>
      </w:r>
      <w:r>
        <w:rPr>
          <w:rFonts w:hint="eastAsia" w:ascii="仿宋" w:hAnsi="仿宋" w:eastAsia="仿宋" w:cs="仿宋"/>
          <w:sz w:val="32"/>
          <w:szCs w:val="32"/>
        </w:rPr>
        <w:t>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自然资源局、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政府信息中心牵头，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直各有关部门、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4.做好财政信息公开。稳步扩大预决算公开范围，推进部门所属单位预算、决算及相关报表公开。持续深化地方政府债务信息公开，通过集中统一平台定期公开地方政府债务限额、余额、发行、品种、期限、利率、偿还计划、偿债资金来源等信息。加大惠民惠农政策和资金发放信息公开力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财政部门要推动补贴信息公开向村和社区延伸，并与村（居）务公开有效衔接。（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财政局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牵头，各乡&lt;镇&gt;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（二）规范拟发公文公开属性管理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5.法定主动公开内容必须全部公开。除依法涉密之外，特别是事关重大民生的教育、医疗、社会保障、乡村振兴、促进就业等方面，以及社会公众关注度高的限行、调价、准入、许可、基建、拆迁等重大行政决策、重大建设项目批准等方面的政策、措施及其实施情况，必须及时、主动公开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6.防止公开属性滥用。建立公文公开属性认定台账，确保依申请公开、不予公开的公文数量占比逐年下降。严格审核未主动公开公文的依据和理由，定期审查，结合实际情况进行动态调整。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上级</w:t>
      </w:r>
      <w:r>
        <w:rPr>
          <w:rFonts w:hint="eastAsia" w:ascii="仿宋" w:hAnsi="仿宋" w:eastAsia="仿宋" w:cs="仿宋"/>
          <w:sz w:val="32"/>
          <w:szCs w:val="32"/>
        </w:rPr>
        <w:t>政府文件为主动公开的，公开属性原则上不得拟定为依申请公开和不予公开。（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7.做好涉及公众利益函复类公文的主动公开。法定公开内容之外，具有普遍指导意义和作用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或涉及公众利益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有必要让公众知晓并接受公众监督的函复类公文应当公开，相关政府文件属性应当被认定为主动公开。政府部门联合发文的，由牵头单位做好拟发公文属性认定工作。（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（三）深化基层政务公开标准化规范化工作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8.在26个基层政务公开领域实施公开目录标准化规范化试点的基础上，继续在交通运输领域、职业教育领域、人防工程领域推行政务公开事项标准化规范化工作，拓展政务公开标准化规范化施行领域和层级。鼓励施行全领域政务公开标准化规范化工作。（26个基层政务公开标准化规范化试点领域相关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、各乡&lt;镇&gt;</w:t>
      </w:r>
      <w:r>
        <w:rPr>
          <w:rFonts w:hint="eastAsia" w:ascii="仿宋" w:hAnsi="仿宋" w:eastAsia="仿宋" w:cs="仿宋"/>
          <w:sz w:val="32"/>
          <w:szCs w:val="32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、居民事务中心</w:t>
      </w:r>
      <w:r>
        <w:rPr>
          <w:rFonts w:hint="eastAsia" w:ascii="仿宋" w:hAnsi="仿宋" w:eastAsia="仿宋" w:cs="仿宋"/>
          <w:sz w:val="32"/>
          <w:szCs w:val="32"/>
        </w:rPr>
        <w:t>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9.督促抓好已公布标准目录的执行，并完善政府网站按要素搜索等功能。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直各相关部门要对本领域标准目录的落实情况进行抽查检查，对未按要求进行公开的，要进行通报并限期整改，相关通报情况应纳入当年目标责任考核。（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政府信息中心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牵头，县</w:t>
      </w:r>
      <w:r>
        <w:rPr>
          <w:rFonts w:hint="eastAsia" w:ascii="仿宋" w:hAnsi="仿宋" w:eastAsia="仿宋" w:cs="仿宋"/>
          <w:sz w:val="32"/>
          <w:szCs w:val="32"/>
        </w:rPr>
        <w:t>直各有关部门、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（四）开通“便民答复”专线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10.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门户网站开设的“县长信箱”、“咨询投诉”栏目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为企业和群众提供政策咨询服务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同时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对经检索不存在的政府信息、受理机关不掌握的政府信息、或现成的政府信息不存在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，需要另行制作的、申请内容不明确且经补正未能确定的情况，进行便民答复，从实际需要出发，为申请人提供尽可能周到、全面的政府信息公开服务。同时鼓励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窗口单位</w:t>
      </w:r>
      <w:r>
        <w:rPr>
          <w:rFonts w:hint="eastAsia" w:ascii="仿宋" w:hAnsi="仿宋" w:eastAsia="仿宋" w:cs="仿宋"/>
          <w:sz w:val="32"/>
          <w:szCs w:val="32"/>
        </w:rPr>
        <w:t>开展“便民答复”工作。（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行政审批局、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（五）加强政策多样化解读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11.提升解读质量。从2021年起，各部门政策多样化解读率不得低于90%。解读材料除对政策本义进行通俗化、生动化解读外，还应重点对政策的背景、意义、作用、关键词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新旧政策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差异等进行解读。鼓励使用图表图解、视频动漫、流程演示等解读方式。对政策公布后社会公众的反响和疑问，要针对性地开展延伸解读、补充解读。（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办公室牵头，县</w:t>
      </w:r>
      <w:r>
        <w:rPr>
          <w:rFonts w:hint="eastAsia" w:ascii="仿宋" w:hAnsi="仿宋" w:eastAsia="仿宋" w:cs="仿宋"/>
          <w:sz w:val="32"/>
          <w:szCs w:val="32"/>
        </w:rPr>
        <w:t>直各部门负责）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12.拓宽解读发布渠道。各部门要充分利用各种新媒体平台和政务服务中心、报纸、广播电视等渠道，发布政策解读材料，扩大受众面，提升知晓度。对各部门的优秀政策解读材料可推荐在“山西省人民政府”微信公众号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被采用的可作为年终考核的加分依据。（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直各部门负责）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（六）积极回应公众关切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13.按照属地管理、分级负责、责权统一的原则，对不同舆情回应的责任主体进行划分，明确组织协调关系，明确政务舆情回应责任主体；建立完善政务舆情回应机制，完善政务舆情收集、研判、预警、回应机制，严格落实回应责任，避免出现反应迟缓、被动应对现象。政务新媒体要建立健全互动回应机制，畅通互动回应渠道，及时了解社会关注，回应社会关切，提升群众的满意度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政府信息中心牵头，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直有关部门、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（七）持续做好疫情常态化防控政策措施公开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14.持续做好新冠肺炎疫情防控有关政策措施、疫情动态、科普宣传以及疫苗监管、流通和预防接种等信息的公开。在准确、及时公开相关信息的同时，更加注重个人隐私保护，更加注重对社会谣言的回应澄清。做好爱国卫生运动、健康中国行动等相关工作的信息公开，大力开展健康科普宣传，使健康生活理念更加深入人心、健康生活习惯更好养成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县卫生健康和体育局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（八）持续抓好政府网站及政务新媒体建设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15.按照政务公开工作总体要求，全面加强政府网站及政务新媒体建设。2021年年底前，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实现县</w:t>
      </w:r>
      <w:r>
        <w:rPr>
          <w:rFonts w:hint="eastAsia" w:ascii="仿宋" w:hAnsi="仿宋" w:eastAsia="仿宋" w:cs="仿宋"/>
          <w:sz w:val="32"/>
          <w:szCs w:val="32"/>
        </w:rPr>
        <w:t>政府门户网站支持互联网协议第6版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sz w:val="32"/>
          <w:szCs w:val="32"/>
        </w:rPr>
        <w:t>按照国家关于政府网站集约化建设的部署，主动参与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省市</w:t>
      </w:r>
      <w:r>
        <w:rPr>
          <w:rFonts w:hint="eastAsia" w:ascii="仿宋" w:hAnsi="仿宋" w:eastAsia="仿宋" w:cs="仿宋"/>
          <w:sz w:val="32"/>
          <w:szCs w:val="32"/>
        </w:rPr>
        <w:t>政务公开一体化平台的建设工作。（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政府信息中心负责）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（九）推进《政府公报》标准化建设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16.按照标准化要求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结合实际积极创办《政府公报》。加强政府公报数据库安全管理，确保数据完整、准确。推动政府公报数据库数字化利用，开发相应政务新媒体和移动客户端应用或链接，打造“掌上公报”。（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（十）开设政务公开专区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17.建设“政务公开”实体店，在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政务服务中心（大厅）开设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“政务公开专区”，打造成集政府信息查询、信息公开申请、政策解读、政民互动、政策咨询、事项办理等功能于一体的线上线下综合服务平台。对土地征收、旧区改造、入园入学、就业就医、扶贫扶困、养老服务等面向特定区域和人群的公开事项，要通过公共查阅点、公告栏、电子信息屏、政策宣传册及宣讲会等方式，进行定点、定向公开，打造多样化、个性化、精准化公开平台，变“人找政策”为“政策找人”，提升政务公开服务精准度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行政审批局负责）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（十一）依规办理依申请公开事项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依申请公开全面实行“登记制”和“书面答复制”，即有申请必登记、有申请必答复；书面答复应当包含查找检索相关政府信息的过程事实、处理决定的法律法规依据、申请人行使救济权的期限、途径等内容。同时要严格按照受理、补正、征求意见、做出决定、报批、送达等步骤规范依申请公开工作流程，力求程序合法、处置合理、答复规范、措辞得当，在保障申请人权利的同时维护好政府公信力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sz w:val="32"/>
          <w:szCs w:val="32"/>
        </w:rPr>
        <w:t>）完善政府信息发布审核机制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.各部门要完善政府信息发布审核机制，通过政府网站及政务新媒体、新闻发布会、新闻媒体等发布的政府信息要严格审核，责任到人，保障信息发布的严肃性、及时性、准确性和权威性。要完善政府规章和行政规范性文件公开审查、备案、发布机制与督促约束，完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各乡镇、各</w:t>
      </w:r>
      <w:r>
        <w:rPr>
          <w:rFonts w:hint="eastAsia" w:ascii="仿宋" w:hAnsi="仿宋" w:eastAsia="仿宋" w:cs="仿宋"/>
          <w:sz w:val="32"/>
          <w:szCs w:val="32"/>
        </w:rPr>
        <w:t>部门文件报送政府公报、政府网站制度、联络员制度和报送刊登情况通报制度。（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政府信息中心、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）积极组织参与省政务公开“亮点工程”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.按照省政府实施政务公开“亮点工程”的要求，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政府办公室结合工作实绩、亮点特色、群众口碑和社会效果等方面评价，从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政府门户网站、政务新媒体、基层政务公开标准化、依申请公开、舆情回应等方面，择优推荐本年度最受群众欢迎的、最受百姓认可的政务公开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和先进个人</w:t>
      </w:r>
      <w:r>
        <w:rPr>
          <w:rFonts w:hint="eastAsia" w:ascii="仿宋" w:hAnsi="仿宋" w:eastAsia="仿宋" w:cs="仿宋"/>
          <w:sz w:val="32"/>
          <w:szCs w:val="32"/>
        </w:rPr>
        <w:t>，参与省政府开展的政务公开“亮点工程”评选活动，被推荐的单位将在年度考核中获得加分，获得推荐并被省政府采用的单位或个人将获得全省表彰，以此激励先进、鼓励创新、推广经验做法、发挥示范效应，推进政务公开工作全面升级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三、考核督导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依照</w:t>
      </w:r>
      <w:r>
        <w:rPr>
          <w:rFonts w:hint="eastAsia" w:ascii="仿宋" w:hAnsi="仿宋" w:eastAsia="仿宋" w:cs="仿宋"/>
          <w:sz w:val="32"/>
          <w:szCs w:val="32"/>
        </w:rPr>
        <w:t>《山西省政务公开工作考核办法（试行）》制定《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代县</w:t>
      </w:r>
      <w:r>
        <w:rPr>
          <w:rFonts w:hint="eastAsia" w:ascii="仿宋" w:hAnsi="仿宋" w:eastAsia="仿宋" w:cs="仿宋"/>
          <w:sz w:val="32"/>
          <w:szCs w:val="32"/>
        </w:rPr>
        <w:t>2021年度政务公开考核细则》，对本年度政务公开工作开展全方位的考核考评，充分发挥考核“指挥棒”“风向标”作用，强化考核结果运用，形成工作导向。同时结合工作进度，在年中进行抽查督导，并将抽查的情况进行通报，结果计入平时考核，年底一并兑现奖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（一）加强组织领导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各乡（镇）</w:t>
      </w:r>
      <w:r>
        <w:rPr>
          <w:rFonts w:hint="eastAsia" w:ascii="仿宋" w:hAnsi="仿宋" w:eastAsia="仿宋" w:cs="仿宋"/>
          <w:sz w:val="32"/>
          <w:szCs w:val="32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、县直各部门</w:t>
      </w:r>
      <w:r>
        <w:rPr>
          <w:rFonts w:hint="eastAsia" w:ascii="仿宋" w:hAnsi="仿宋" w:eastAsia="仿宋" w:cs="仿宋"/>
          <w:sz w:val="32"/>
          <w:szCs w:val="32"/>
        </w:rPr>
        <w:t>主要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负责同志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本级</w:t>
      </w: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政务公开工作的主要责任人，要严格依据《政府信息公开条例》规定，明确承担政务公开工作的机构，强化工作职责，配齐专职人员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 xml:space="preserve">落细落实本单位政务公开工作各项任务。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（二）加大工作力度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政务公开领导小组负责统筹协调指导全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政务公开工作。各部门政务公开工作机构要定期研究政务公开工作，分管负责人年内至少听取一次政务公开工作汇报，及时学习了解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中央、</w:t>
      </w:r>
      <w:r>
        <w:rPr>
          <w:rFonts w:hint="eastAsia" w:ascii="仿宋" w:hAnsi="仿宋" w:eastAsia="仿宋" w:cs="仿宋"/>
          <w:sz w:val="32"/>
          <w:szCs w:val="32"/>
        </w:rPr>
        <w:t>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市、县</w:t>
      </w:r>
      <w:r>
        <w:rPr>
          <w:rFonts w:hint="eastAsia" w:ascii="仿宋" w:hAnsi="仿宋" w:eastAsia="仿宋" w:cs="仿宋"/>
          <w:sz w:val="32"/>
          <w:szCs w:val="32"/>
        </w:rPr>
        <w:t xml:space="preserve">各项政策要求，解决工作推进过程中的疑难问题，推广经验亮点做法，从推进转型发展的高度深入推进政务公开工作；要切实履行职责，精心组织实施，扎实有序推进，共同推动政务公开各项工作落实。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（三）加强学习培训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2021年，各部门要加强政务公开专门机构建设，充实人员力量，保障必要的经费、设备等工作条件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切实打造一支综合素质强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业务能力精的专业化政务公开队伍，为开创全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政务公开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新局面做好保障。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widowControl/>
        <w:spacing w:line="578" w:lineRule="exact"/>
        <w:ind w:firstLine="640" w:firstLineChars="20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78" w:lineRule="exact"/>
        <w:ind w:left="1121" w:leftChars="134" w:hanging="840" w:hangingChars="3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7pt;height:0pt;width:441pt;z-index:251663360;mso-width-relative:page;mso-height-relative:page;" filled="f" stroked="t" coordsize="21600,21600" o:gfxdata="UEsDBAoAAAAAAIdO4kAAAAAAAAAAAAAAAAAEAAAAZHJzL1BLAwQUAAAACACHTuJA/WX8ddMAAAAE&#10;AQAADwAAAGRycy9kb3ducmV2LnhtbE2P3WrCQBCF7wu+wzKF3tWNIjVNsxERCr2pou0DjNkxCc3O&#10;huz6E5++Y2/q5ccZzvkmX1xcq07Uh8azgck4AUVcettwZeD76/05BRUissXWMxkYKMCiGD3kmFl/&#10;5i2ddrFSUsIhQwN1jF2mdShrchjGviOW7OB7h1Gwr7Tt8SzlrtXTJHnRDhuWhRo7WtVU/uyOzsB2&#10;5dfzZTfbfKzj52F+vQ5UVoMxT4+T5A1UpEv8P4abvqhDIU57f2QbVGtAHokGXmegJEzTqfD+j3WR&#10;63v54hdQSwMEFAAAAAgAh07iQKRDjsf1AQAA5QMAAA4AAABkcnMvZTJvRG9jLnhtbK1TS44TMRDd&#10;I3EHy3vSnZEyM2qlM4sJwwZBJOAAFdvdbck/uZzfJbgAEjtYsWTPbRiOQdmdycCwyYJeuMuu8qt6&#10;r8rzm701bKsiau9aPp3UnCknvNSub/mH93cvrjnDBE6C8U61/KCQ3yyeP5vvQqMu/OCNVJERiMNm&#10;F1o+pBSaqkIxKAs48UE5cnY+Wki0jX0lI+wI3Zrqoq4vq52PMkQvFCKdLkcnPyLGcwB912mhll5s&#10;rHJpRI3KQCJKOOiAfFGq7Tol0tuuQ5WYaTkxTWWlJGSv81ot5tD0EcKgxbEEOKeEJ5wsaEdJT1BL&#10;SMA2Uf8DZbWIHn2XJsLbaiRSFCEW0/qJNu8GCKpwIakxnETH/wcr3mxXkWnZ8hlnDiw1/P7T958f&#10;v/z68ZnW+29f2SyLtAvYUOytW8XjDsMqZsb7Ltr8Jy5sX4Q9nIRV+8QEHc4u6/qqJs3Fg696vBgi&#10;plfKW5aNlhvtMmdoYPsaEyWj0IeQfGwc29Hczq6vqGIBNIEddZ5MG4gFur5cRm+0vNPG5CsY+/Wt&#10;iWwLeQrKlzkR8F9hOcsScBjjimucj0GBfOkkS4dA+jh6FjzXYJXkzCh6RdkiQGgSaHNOJKU2jirI&#10;so5CZmvt5YG6sQlR9wNJMS1VZg91v9R7nNQ8Xn/uC9Lj61z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1l/HXTAAAABAEAAA8AAAAAAAAAAQAgAAAAIgAAAGRycy9kb3ducmV2LnhtbFBLAQIUABQA&#10;AAAIAIdO4kCkQ47H9QEAAOUDAAAOAAAAAAAAAAEAIAAAACIBAABkcnMvZTJvRG9jLnhtbFBLBQYA&#10;AAAABgAGAFkBAACJ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w:t>抄送：县委办公室，县人大常委会办公室，县政协办公室，县法院，</w:t>
      </w:r>
    </w:p>
    <w:p>
      <w:pPr>
        <w:spacing w:line="578" w:lineRule="exact"/>
        <w:ind w:left="1121" w:leftChars="534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县检察院。</w:t>
      </w:r>
    </w:p>
    <w:p>
      <w:pPr>
        <w:tabs>
          <w:tab w:val="left" w:pos="8400"/>
        </w:tabs>
        <w:spacing w:line="578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7pt;height:0pt;width:441pt;z-index:251661312;mso-width-relative:page;mso-height-relative:page;" filled="f" stroked="t" coordsize="21600,21600" o:gfxdata="UEsDBAoAAAAAAIdO4kAAAAAAAAAAAAAAAAAEAAAAZHJzL1BLAwQUAAAACACHTuJAoEob29UAAAAG&#10;AQAADwAAAGRycy9kb3ducmV2LnhtbE2PzW7CMBCE75V4B2sr9VYcEIUojYMQUqVeCoL2AZZ4SaLG&#10;6yg2P+Hpu6iH9jgzq5lv8+XVtepMfWg8G5iME1DEpbcNVwa+Pt+eU1AhIltsPZOBgQIsi9FDjpn1&#10;F97ReR8rJSUcMjRQx9hlWoeyJodh7DtiyY6+dxhF9pW2PV6k3LV6miRz7bBhWaixo3VN5ff+5Azs&#10;1n6zWHWz7fsmfhwXt9tAZTUY8/Q4SV5BRbrGv2O44ws6FMJ08Ce2QbUG5JFoYP4yAyVpmk7FOPwa&#10;usj1f/ziB1BLAwQUAAAACACHTuJAD47pePYBAADlAwAADgAAAGRycy9lMm9Eb2MueG1srVPNjtMw&#10;EL4j8Q6W7zTpSu2uoqZ72LJcEFQCHmDqOIkl/8njNu1L8AJI3ODEkTtvw/IYjJ1uF3YvPWwOztgz&#10;/ma+b8aL673RbCcDKmdrPp2UnEkrXKNsV/NPH29fXXGGEWwD2llZ84NEfr18+WIx+EpeuN7pRgZG&#10;IBarwde8j9FXRYGilwZw4ry05GxdMBBpG7qiCTAQutHFRVnOi8GFxgcnJCKdrkYnPyKGcwBd2yoh&#10;V05sjbRxRA1SQyRK2CuPfJmrbVsp4vu2RRmZrjkxjXmlJGRv0losF1B1AXyvxLEEOKeER5wMKEtJ&#10;T1AriMC2QT2BMkoEh66NE+FMMRLJihCLaflImw89eJm5kNToT6Lj88GKd7t1YKqp+ZwzC4Yafvfl&#10;5+/P3/78+krr3Y/vbJ5EGjxWFHtj1+G4Q78OifG+DSb9iQvbZ2EPJ2HlPjJBh7N5WV6WpLm49xUP&#10;F33A+EY6w5JRc61s4gwV7N5ipGQUeh+SjrVlA83t7OpyRnhAE9hS58k0nlig7fJldFo1t0rrdAVD&#10;t7nRge0gTUH+EicC/i8sZVkB9mNcdo3z0UtoXtuGxYMnfSw9C55qMLLhTEt6RckiQKgiKH1OJKXW&#10;lipIso5CJmvjmgN1Y+uD6nqSYpqrTB7qfq73OKlpvP7dZ6SH17n8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BKG9vVAAAABgEAAA8AAAAAAAAAAQAgAAAAIgAAAGRycy9kb3ducmV2LnhtbFBLAQIU&#10;ABQAAAAIAIdO4kAPjul49gEAAOUDAAAOAAAAAAAAAAEAIAAAACQ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pt;height:0pt;width:441pt;z-index:251662336;mso-width-relative:page;mso-height-relative:page;" filled="f" stroked="t" coordsize="21600,21600" o:gfxdata="UEsDBAoAAAAAAIdO4kAAAAAAAAAAAAAAAAAEAAAAZHJzL1BLAwQUAAAACACHTuJAeobvGtQAAAAG&#10;AQAADwAAAGRycy9kb3ducmV2LnhtbE2PT0/DMAzF70h8h8hI3Fi6CkFUmu4AmiYQl21IXL3WNN0a&#10;p2uyP3x7jDiwk+33rOefy9nZ9+pIY+wCW5hOMlDEdWg6bi18rOd3BlRMyA32gcnCN0WYVddXJRZN&#10;OPGSjqvUKgnhWKAFl9JQaB1rRx7jJAzE4n2F0WOScWx1M+JJwn2v8yx70B47lgsOB3p2VO9WB28B&#10;XxbL9Gnyt8fu1b1v1/P9wpm9tbc30+wJVKJz+l+GX3xBh0qYNuHATVS9BXkkiXovVVxjcmk2f4Ku&#10;Sn2JX/0AUEsDBBQAAAAIAIdO4kBTFcon8gEAAOUDAAAOAAAAZHJzL2Uyb0RvYy54bWytU0uOEzEQ&#10;3SNxB8t70p1oGFArnVlMGDYIIgEHqNjubkv+yeX8LsEFkNjBiiV7bsPMMSi7MxkYNlnQC3fZVX5V&#10;71V5frW3hm1VRO1dy6eTmjPlhJfa9S3/+OHm2UvOMIGTYLxTLT8o5FeLp0/mu9ComR+8kSoyAnHY&#10;7ELLh5RCU1UoBmUBJz4oR87ORwuJtrGvZIQdoVtTzer6str5KEP0QiHS6XJ08iNiPAfQd50WaunF&#10;xiqXRtSoDCSihIMOyBel2q5TIr3rOlSJmZYT01RWSkL2Oq/VYg5NHyEMWhxLgHNKeMTJgnaU9AS1&#10;hARsE/U/UFaL6NF3aSK8rUYiRRFiMa0fafN+gKAKF5Iaw0l0/H+w4u12FZmWLb/gzIGlht9+/vHr&#10;09e7n19ovf3+jV1kkXYBG4q9dqt43GFYxcx430Wb/8SF7Yuwh5Owap+YoMPnl3X9oibNxb2vergY&#10;IqbXyluWjZYb7TJnaGD7BhMlo9D7kHxsHNvR3M5GPKAJ7KjzBG0DsUDXl8vojZY32ph8BWO/vjaR&#10;bSFPQfkyJwL+KyxnWQIOY1xxjfMxKJCvnGTpEEgfR8+C5xqskpwZRa8oWwQITQJtzomk1MZRBVnW&#10;Uchsrb08UDc2Iep+ICmmpcrsoe6Xeo+Tmsfrz31Benidi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6hu8a1AAAAAYBAAAPAAAAAAAAAAEAIAAAACIAAABkcnMvZG93bnJldi54bWxQSwECFAAUAAAA&#10;CACHTuJAUxXKJ/IBAADlAwAADgAAAAAAAAABACAAAAAjAQAAZHJzL2Uyb0RvYy54bWxQSwUGAAAA&#10;AAYABgBZAQAAh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w:t>代县人民政府办公室                    20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28</w:t>
      </w:r>
      <w:r>
        <w:rPr>
          <w:rFonts w:hint="eastAsia" w:ascii="仿宋_GB2312" w:hAnsi="Times New Roman" w:eastAsia="仿宋_GB2312" w:cs="Times New Roman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474" w:bottom="1587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F0A6B"/>
    <w:rsid w:val="068158AF"/>
    <w:rsid w:val="102E5D20"/>
    <w:rsid w:val="1B8F2CB9"/>
    <w:rsid w:val="29FD4C48"/>
    <w:rsid w:val="2F894CAB"/>
    <w:rsid w:val="30A010E6"/>
    <w:rsid w:val="409F0A6B"/>
    <w:rsid w:val="4F3A7FC2"/>
    <w:rsid w:val="504B75A0"/>
    <w:rsid w:val="53FE4979"/>
    <w:rsid w:val="564D49F1"/>
    <w:rsid w:val="56594D46"/>
    <w:rsid w:val="57D65695"/>
    <w:rsid w:val="606A0EEE"/>
    <w:rsid w:val="650962C1"/>
    <w:rsid w:val="75400A2C"/>
    <w:rsid w:val="75BB7E1A"/>
    <w:rsid w:val="7B971DEC"/>
    <w:rsid w:val="7CAF16A4"/>
    <w:rsid w:val="7DAF18C9"/>
    <w:rsid w:val="7F9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next w:val="3"/>
    <w:qFormat/>
    <w:uiPriority w:val="0"/>
    <w:pPr>
      <w:widowControl w:val="0"/>
      <w:ind w:left="200" w:left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Normal (Web)"/>
    <w:next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正文文本缩进1"/>
    <w:qFormat/>
    <w:uiPriority w:val="0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2021-06-24T03:27:00Z</dcterms:created>
  <dc:creator>11:大梦</dc:creator>
  <cp:lastModifiedBy>11:大梦</cp:lastModifiedBy>
  <cp:lastPrinted>2021-07-14T09:27:36Z</cp:lastPrinted>
  <dcterms:modified xsi:type="dcterms:W3CDTF">2021-07-14T09:39:57Z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78D1326BC67544938884673B1A20D1F1</vt:lpwstr>
  </property>
  <property fmtid="{D5CDD505-2E9C-101B-9397-08002B2CF9AE}" pid="4" name="KSOSaveFontToCloudKey">
    <vt:lpwstr>456806495_btnclosed</vt:lpwstr>
  </property>
</Properties>
</file>