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31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1" w:type="dxa"/>
            <w:shd w:val="clear" w:color="auto" w:fill="FFFFFF"/>
            <w:vAlign w:val="center"/>
          </w:tcPr>
          <w:p>
            <w:pPr>
              <w:pStyle w:val="4"/>
              <w:widowControl/>
              <w:spacing w:beforeAutospacing="0" w:afterAutospacing="0" w:line="432" w:lineRule="atLeast"/>
              <w:ind w:firstLine="442" w:firstLineChars="100"/>
              <w:rPr>
                <w:rFonts w:hint="eastAsia" w:ascii="仿宋_GB2312" w:eastAsia="仿宋_GB2312" w:cs="宋体" w:hAnsiTheme="minorEastAsia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b/>
                <w:color w:val="333333"/>
                <w:sz w:val="44"/>
                <w:szCs w:val="44"/>
                <w:lang w:eastAsia="zh-CN"/>
              </w:rPr>
              <w:t>阳明堡镇</w:t>
            </w:r>
            <w:r>
              <w:rPr>
                <w:rFonts w:hint="eastAsia" w:ascii="仿宋_GB2312" w:eastAsia="仿宋_GB2312" w:cs="宋体" w:hAnsiTheme="minorEastAsia"/>
                <w:b/>
                <w:color w:val="333333"/>
                <w:sz w:val="44"/>
                <w:szCs w:val="44"/>
              </w:rPr>
              <w:t>人民政府信息公开工作年度报告</w:t>
            </w:r>
          </w:p>
          <w:p>
            <w:pPr>
              <w:pStyle w:val="4"/>
              <w:widowControl/>
              <w:spacing w:beforeAutospacing="0" w:afterAutospacing="0" w:line="432" w:lineRule="atLeast"/>
              <w:jc w:val="both"/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 w:line="432" w:lineRule="atLeast"/>
              <w:ind w:firstLine="578" w:firstLineChars="180"/>
              <w:jc w:val="both"/>
              <w:rPr>
                <w:rFonts w:hint="eastAsia" w:ascii="仿宋_GB2312" w:eastAsia="仿宋_GB2312" w:cs="宋体" w:hAnsiTheme="minorEastAsia"/>
                <w:b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  <w:t>一、总体情况</w:t>
            </w:r>
          </w:p>
          <w:p>
            <w:pPr>
              <w:pStyle w:val="4"/>
              <w:widowControl/>
              <w:spacing w:beforeAutospacing="0" w:afterAutospacing="0" w:line="432" w:lineRule="atLeast"/>
              <w:ind w:firstLine="579" w:firstLineChars="181"/>
              <w:jc w:val="both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9年，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阳明堡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镇严格按照《中华人民共和国政府信息公开条例》及相关规定，采取了切实有效措施，做到政府信息公开工作常态化，切实保障人民群众的知情权、参与权和监督权。主要表现在以下几方面。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3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（一）着眼稳定预期，加强政策解读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我镇将信息公开和政策解读公开放在重要工作议程，带头分析形势，阐释政策，主动回应社会关切，引导正确舆论导向，向社会公众及时准确、全面深入地宣传解读政府重大决策部署出台的背景、目的、意义、内容和要求，为全面推动各项政策措施的贯彻执行营造良好的舆论氛围。发挥政府网站的传播作用，结合自身实际，积极探索，不断拓展社会公众喜闻乐见的解读形式，全领域、全媒介、全时段、全过程抓好重大政策信息的解读发布，切实提高政策解读的针对性、科学性、权威性和有效性，确保广大人民群众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“听得懂、好明白、能理解”。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3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（二）聚焦重点领域，推进政策落实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我镇大力推进决策公开、执行公开、执法公开，加大重要决策、重大部署工作执行和落实情况的公开力度，推进行政执法信息公示制度化、规范化建设，提升社会各界对政府工作的知情权、参与权和监督权，以公开强监督、促落实、促规范。着力强化“三大攻坚战”信息公开，加强防范化解重大风险、脱贫攻坚、污染防治这三大攻坚战的信息公开，围绕企业惠企政策、生态环境保护法规、污染防治整治进程、扶贫领域资金使用情况、扶贫惠民政策等方面及时依法公开相关信息，全面落实公告公示制度，对项目安排和资金使用情况进行公告公示,接受群众和社会监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3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（三）加强平台建设，优化服务功能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及时更新责任范围内的政府网站信息内容，坚决避免空白栏目、信息更新不及时等问题的出现，提高政府网站服务水平，保障群众通过网络平台获取信息的权力。按照上级工作要求，做好新媒体的管理工作，确保信息公开工作能够有序开展。加强政府信息管理，由信息员负责信息收集汇总、日常管理与维护，内容更新以及其他材料的管理、录入与发布。加强对便民服务中心的管理，利用信息公告栏及时公布便民信息，加快网上办事和线下办事的融合，提高群众满意率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3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（四）强化制度保障，提升公开质量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我镇高度重视信息公开工作，建立健全信息公开制度，认真落实信息公开相关工作规定，依法履行推进、指导、协调、监督本行政区域政府信息公开工作职能，根据政务公开新任务新要求新职责，加强政务公开机构建设、专职人员配备和经费保障。同时，认真贯彻政府信息公开条例，加强业务知识培训，提升信息公开工作能力，并制定、完善相关配套制度，形成系统完备、管用有效的公开制度规范体系。严格落实监督保障工作，需要在政府网站发布的工作动态、相关政策、信息公开等内容，由办公室负责人审核后，信息员方可发布。探索各类信息公开创新渠工作方式，强化政务新媒体与政府网站等融合发展，实现数据同源、信息共享、服务同根，形成信息传播和公共服务合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3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（五）2019年政府信息公开工作情况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1.主动公开政府信息情况。2019年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阳明堡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镇主动公开政府信息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条。 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2.依申请公开政府信息情况。全年没有收到依申请公开政府信息的情况。 　</w:t>
            </w:r>
          </w:p>
          <w:p>
            <w:pPr>
              <w:pStyle w:val="4"/>
              <w:widowControl/>
              <w:spacing w:beforeAutospacing="0" w:after="240" w:afterAutospacing="0" w:line="432" w:lineRule="atLeast"/>
              <w:ind w:firstLine="578" w:firstLineChars="18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  <w:t>二、主动公开政府信息情况</w:t>
            </w:r>
          </w:p>
          <w:tbl>
            <w:tblPr>
              <w:tblStyle w:val="5"/>
              <w:tblW w:w="8140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13"/>
              <w:gridCol w:w="1875"/>
              <w:gridCol w:w="1271"/>
              <w:gridCol w:w="188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95" w:hRule="atLeast"/>
                <w:jc w:val="center"/>
              </w:trPr>
              <w:tc>
                <w:tcPr>
                  <w:tcW w:w="8140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82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本年新</w:t>
                  </w: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仿宋_GB2312" w:eastAsia="仿宋_GB2312" w:hAnsiTheme="minorEastAsia"/>
                      <w:kern w:val="0"/>
                      <w:sz w:val="28"/>
                      <w:szCs w:val="28"/>
                    </w:rPr>
                    <w:t>制作数量</w:t>
                  </w:r>
                </w:p>
              </w:tc>
              <w:tc>
                <w:tcPr>
                  <w:tcW w:w="12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本年新</w:t>
                  </w: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仿宋_GB2312" w:eastAsia="仿宋_GB2312" w:hAnsiTheme="minorEastAsia"/>
                      <w:kern w:val="0"/>
                      <w:sz w:val="28"/>
                      <w:szCs w:val="28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对外公开总数量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3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  <w:lang w:val="en-US" w:eastAsia="zh-CN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81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上一年项目数量</w:t>
                  </w:r>
                </w:p>
              </w:tc>
              <w:tc>
                <w:tcPr>
                  <w:tcW w:w="12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28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行政许可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其他对外管理服务事项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6" w:hRule="atLeast"/>
                <w:jc w:val="center"/>
              </w:trPr>
              <w:tc>
                <w:tcPr>
                  <w:tcW w:w="81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34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上一年项目数量</w:t>
                  </w:r>
                </w:p>
              </w:tc>
              <w:tc>
                <w:tcPr>
                  <w:tcW w:w="127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行政处罚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行政强制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　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4" w:hRule="atLeast"/>
                <w:jc w:val="center"/>
              </w:trPr>
              <w:tc>
                <w:tcPr>
                  <w:tcW w:w="81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上一年项目数量</w:t>
                  </w:r>
                </w:p>
              </w:tc>
              <w:tc>
                <w:tcPr>
                  <w:tcW w:w="3152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本年增/减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行政事业性收费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  <w:t>0</w:t>
                  </w: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仿宋_GB2312" w:eastAsia="仿宋_GB2312" w:hAnsiTheme="minorEastAsia"/>
                      <w:sz w:val="28"/>
                      <w:szCs w:val="28"/>
                      <w:lang w:val="en-US" w:eastAsia="zh-CN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6" w:hRule="atLeast"/>
                <w:jc w:val="center"/>
              </w:trPr>
              <w:tc>
                <w:tcPr>
                  <w:tcW w:w="8140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第二十条第（九）项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采购项目数量</w:t>
                  </w:r>
                </w:p>
              </w:tc>
              <w:tc>
                <w:tcPr>
                  <w:tcW w:w="3152" w:type="dxa"/>
                  <w:gridSpan w:val="2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采购总金额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9" w:hRule="atLeast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政府集中采购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152" w:type="dxa"/>
                  <w:gridSpan w:val="2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pStyle w:val="4"/>
              <w:widowControl/>
              <w:spacing w:beforeAutospacing="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="24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  <w:t>三、收到和处理政府信息公开申请情况</w:t>
            </w:r>
          </w:p>
          <w:tbl>
            <w:tblPr>
              <w:tblStyle w:val="5"/>
              <w:tblW w:w="9071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"/>
              <w:gridCol w:w="854"/>
              <w:gridCol w:w="2101"/>
              <w:gridCol w:w="817"/>
              <w:gridCol w:w="758"/>
              <w:gridCol w:w="758"/>
              <w:gridCol w:w="817"/>
              <w:gridCol w:w="979"/>
              <w:gridCol w:w="715"/>
              <w:gridCol w:w="65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jc w:val="center"/>
              </w:trPr>
              <w:tc>
                <w:tcPr>
                  <w:tcW w:w="3571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00" w:type="dxa"/>
                  <w:gridSpan w:val="7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申请人情况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71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自然人</w:t>
                  </w:r>
                </w:p>
              </w:tc>
              <w:tc>
                <w:tcPr>
                  <w:tcW w:w="4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法人或其他组织</w:t>
                  </w:r>
                </w:p>
              </w:tc>
              <w:tc>
                <w:tcPr>
                  <w:tcW w:w="656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71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商业企业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科研机构</w:t>
                  </w:r>
                </w:p>
              </w:tc>
              <w:tc>
                <w:tcPr>
                  <w:tcW w:w="817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社会公益组织</w:t>
                  </w:r>
                </w:p>
              </w:tc>
              <w:tc>
                <w:tcPr>
                  <w:tcW w:w="979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法律服务机构</w:t>
                  </w:r>
                </w:p>
              </w:tc>
              <w:tc>
                <w:tcPr>
                  <w:tcW w:w="71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其他</w:t>
                  </w:r>
                </w:p>
              </w:tc>
              <w:tc>
                <w:tcPr>
                  <w:tcW w:w="656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71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一、本年新收政府信息公开申请数量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71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二、上年结转政府信息公开申请数量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三、本年度办理结果</w:t>
                  </w:r>
                </w:p>
              </w:tc>
              <w:tc>
                <w:tcPr>
                  <w:tcW w:w="295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（一）予以公开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（三）不予公开</w:t>
                  </w: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1.属于国家秘密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2.其他法律行政法规禁止公开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3.危及“三安全一稳定”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4.保护第三方合法权益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5.属于三类内部事务信息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6.属于四类过程性信息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7.属于行政执法案卷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8.属于行政查询事项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（四）无法提供</w:t>
                  </w: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1.本机关不掌握相关政府信息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2.没有现成信息需要另行制作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3.补正后申请内容仍不明确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（五）不予处理</w:t>
                  </w: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1.信访举报投诉类申请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2.重复申请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3.要求提供公开出版物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4.无正当理由大量反复申请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85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10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5.要求行政机关确认或重新出具已获取信息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（六）其他处理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16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295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楷体" w:hAnsiTheme="minorEastAsia"/>
                      <w:kern w:val="0"/>
                      <w:sz w:val="28"/>
                      <w:szCs w:val="28"/>
                    </w:rPr>
                    <w:t>（七）总计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571" w:type="dxa"/>
                  <w:gridSpan w:val="3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left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四、结转下年度继续办理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ind w:firstLine="280" w:firstLineChars="100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>
            <w:pPr>
              <w:pStyle w:val="4"/>
              <w:widowControl/>
              <w:spacing w:beforeAutospacing="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</w:p>
          <w:p>
            <w:pPr>
              <w:pStyle w:val="4"/>
              <w:widowControl/>
              <w:spacing w:beforeAutospacing="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  <w:t>四、政府信息公开行政复议、行政诉讼情况</w:t>
            </w:r>
          </w:p>
          <w:p>
            <w:pPr>
              <w:pStyle w:val="4"/>
              <w:widowControl/>
              <w:spacing w:beforeAutospacing="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</w:p>
          <w:tbl>
            <w:tblPr>
              <w:tblStyle w:val="5"/>
              <w:tblW w:w="9071" w:type="dxa"/>
              <w:jc w:val="center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行政诉讼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复议后起诉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658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kern w:val="0"/>
                      <w:sz w:val="28"/>
                      <w:szCs w:val="28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宋体" w:hAnsiTheme="minorEastAsia"/>
                      <w:color w:val="000000"/>
                      <w:kern w:val="0"/>
                      <w:sz w:val="28"/>
                      <w:szCs w:val="28"/>
                    </w:rPr>
                    <w:t>总计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cs="Calibri" w:hAnsiTheme="minorEastAsia"/>
                      <w:kern w:val="0"/>
                      <w:sz w:val="28"/>
                      <w:szCs w:val="28"/>
                    </w:rPr>
                    <w:t>0</w:t>
                  </w:r>
                  <w:r>
                    <w:rPr>
                      <w:rFonts w:hint="eastAsia" w:eastAsia="仿宋_GB2312" w:cs="Calibri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spacing w:after="180"/>
                    <w:jc w:val="center"/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eastAsia="仿宋_GB2312" w:cs="宋体" w:asciiTheme="minorEastAsia" w:hAnsiTheme="minor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 w:hAnsiTheme="minorEastAsia"/>
                      <w:sz w:val="28"/>
                      <w:szCs w:val="28"/>
                    </w:rPr>
                    <w:t>0</w:t>
                  </w:r>
                </w:p>
              </w:tc>
            </w:tr>
          </w:tbl>
          <w:p>
            <w:pPr>
              <w:widowControl/>
              <w:spacing w:line="432" w:lineRule="atLeast"/>
              <w:jc w:val="center"/>
              <w:rPr>
                <w:rFonts w:hint="eastAsia" w:ascii="仿宋_GB2312" w:eastAsia="仿宋_GB2312" w:cs="宋体" w:hAnsiTheme="minorEastAsia"/>
                <w:color w:val="333333"/>
                <w:sz w:val="32"/>
                <w:szCs w:val="3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80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五、存在的主要问题及改进情况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2019年，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eastAsia="zh-CN"/>
              </w:rPr>
              <w:t>阳明堡</w:t>
            </w: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镇政府信息公开工作切实保障了人民群众的知情权、参与权和监督权，为建设法治政府、服务政府迈出了坚实一步，但同时也存在一些不足和问题。主要表现在：一是队伍建设有待加强；二是公开的信息数量不够；三是信息公开不及时。 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 w:firstLine="640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针对存在的问题，我们制定了以下改进措施：一是强化政府信息公开人员队伍建设，定期或者不定期进行人员培训，努力提高工作人员业务素质；二是继续推进信息管理、审查、公开的规范化，深入各部门站所职能，全方位、深层次、及时有效地稳步拓展信息公开的深度和广度。</w:t>
            </w:r>
          </w:p>
          <w:p>
            <w:pPr>
              <w:pStyle w:val="4"/>
              <w:widowControl/>
              <w:spacing w:beforeAutospacing="0" w:afterAutospacing="0" w:line="432" w:lineRule="atLeast"/>
              <w:ind w:firstLine="42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b/>
                <w:color w:val="333333"/>
                <w:sz w:val="32"/>
                <w:szCs w:val="32"/>
              </w:rPr>
              <w:t>六、其他需要报告的事项</w:t>
            </w:r>
          </w:p>
          <w:p>
            <w:pPr>
              <w:pStyle w:val="4"/>
              <w:widowControl/>
              <w:spacing w:beforeAutospacing="0" w:afterAutospacing="0" w:line="432" w:lineRule="atLeast"/>
              <w:ind w:firstLine="5376" w:firstLineChars="1680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sz w:val="32"/>
                <w:szCs w:val="32"/>
                <w:lang w:eastAsia="zh-CN"/>
              </w:rPr>
              <w:t>阳明堡镇</w:t>
            </w:r>
            <w:r>
              <w:rPr>
                <w:rFonts w:hint="eastAsia" w:ascii="仿宋_GB2312" w:eastAsia="仿宋_GB2312" w:cs="宋体" w:hAnsiTheme="minorEastAsia"/>
                <w:sz w:val="32"/>
                <w:szCs w:val="32"/>
              </w:rPr>
              <w:t>人民政府</w:t>
            </w:r>
          </w:p>
          <w:p>
            <w:pPr>
              <w:pStyle w:val="4"/>
              <w:widowControl/>
              <w:spacing w:beforeAutospacing="0" w:afterAutospacing="0" w:line="432" w:lineRule="atLeast"/>
              <w:ind w:firstLine="5532" w:firstLineChars="1729"/>
              <w:jc w:val="both"/>
              <w:rPr>
                <w:rFonts w:hint="eastAsia" w:ascii="仿宋_GB2312" w:eastAsia="仿宋_GB2312" w:cs="宋体" w:hAnsiTheme="minorEastAsia"/>
                <w:sz w:val="32"/>
                <w:szCs w:val="32"/>
              </w:rPr>
            </w:pPr>
            <w:r>
              <w:rPr>
                <w:rFonts w:hint="eastAsia" w:ascii="仿宋_GB2312" w:eastAsia="仿宋_GB2312" w:cs="宋体" w:hAnsiTheme="minorEastAsia"/>
                <w:sz w:val="32"/>
                <w:szCs w:val="32"/>
              </w:rPr>
              <w:t>2020年1月14日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3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仿宋_GB2312" w:eastAsia="仿宋_GB2312" w:cs="宋体" w:hAnsiTheme="minorEastAsia"/>
                <w:color w:val="333333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eastAsia="仿宋_GB2312" w:hAnsiTheme="minorEastAsia"/>
          <w:sz w:val="32"/>
          <w:szCs w:val="32"/>
        </w:rPr>
      </w:pPr>
    </w:p>
    <w:sectPr>
      <w:pgSz w:w="11906" w:h="16838"/>
      <w:pgMar w:top="1440" w:right="187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4454E"/>
    <w:rsid w:val="005567CE"/>
    <w:rsid w:val="009347B4"/>
    <w:rsid w:val="00CD02AB"/>
    <w:rsid w:val="00D37157"/>
    <w:rsid w:val="00EF4AD2"/>
    <w:rsid w:val="16093832"/>
    <w:rsid w:val="1AFD02BA"/>
    <w:rsid w:val="25524DD1"/>
    <w:rsid w:val="32BD37AA"/>
    <w:rsid w:val="3D5851AF"/>
    <w:rsid w:val="3F841420"/>
    <w:rsid w:val="5BAF649A"/>
    <w:rsid w:val="64344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2278</Words>
  <Characters>639</Characters>
  <Lines>5</Lines>
  <Paragraphs>5</Paragraphs>
  <TotalTime>292</TotalTime>
  <ScaleCrop>false</ScaleCrop>
  <LinksUpToDate>false</LinksUpToDate>
  <CharactersWithSpaces>2912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2020-01-14T13:09:00Z</dcterms:created>
  <dc:creator>Administrator</dc:creator>
  <cp:lastModifiedBy>Administrator</cp:lastModifiedBy>
  <cp:lastPrinted>2020-01-15T04:10:00Z</cp:lastPrinted>
  <dcterms:modified xsi:type="dcterms:W3CDTF">2020-01-16T09:20:40Z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