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w:t>
      </w:r>
      <w:r>
        <w:rPr>
          <w:rFonts w:hint="eastAsia" w:ascii="方正小标宋简体" w:hAnsi="方正小标宋简体" w:eastAsia="方正小标宋简体" w:cs="方正小标宋简体"/>
          <w:sz w:val="44"/>
          <w:szCs w:val="44"/>
          <w:lang w:eastAsia="zh-CN"/>
        </w:rPr>
        <w:t>居民事务中心</w:t>
      </w:r>
      <w:r>
        <w:rPr>
          <w:rFonts w:hint="eastAsia" w:ascii="方正小标宋简体" w:hAnsi="方正小标宋简体" w:eastAsia="方正小标宋简体" w:cs="方正小标宋简体"/>
          <w:sz w:val="44"/>
          <w:szCs w:val="44"/>
        </w:rPr>
        <w:t>政府信息公开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新修订的</w:t>
      </w:r>
      <w:r>
        <w:rPr>
          <w:rFonts w:hint="eastAsia" w:ascii="仿宋" w:hAnsi="仿宋" w:eastAsia="仿宋" w:cs="仿宋"/>
          <w:sz w:val="32"/>
          <w:szCs w:val="32"/>
        </w:rPr>
        <w:t>《中华人民共和国政府信息公开条例》和《关于政府信息公开工作年度报告有关事项的通知》（国办公开办函〔2019〕60号）要求，</w:t>
      </w:r>
      <w:r>
        <w:rPr>
          <w:rFonts w:hint="eastAsia" w:ascii="仿宋" w:hAnsi="仿宋" w:eastAsia="仿宋" w:cs="仿宋"/>
          <w:sz w:val="32"/>
          <w:szCs w:val="32"/>
          <w:lang w:eastAsia="zh-CN"/>
        </w:rPr>
        <w:t>居民事务中心</w:t>
      </w:r>
      <w:r>
        <w:rPr>
          <w:rFonts w:hint="eastAsia" w:ascii="仿宋" w:hAnsi="仿宋" w:eastAsia="仿宋" w:cs="仿宋"/>
          <w:sz w:val="32"/>
          <w:szCs w:val="32"/>
        </w:rPr>
        <w:t>认真贯彻落实政务公开有关规定，切实推行政务公开工作。进一步完善领导机制，加强对政务公开工作的领导，成立了以</w:t>
      </w:r>
      <w:r>
        <w:rPr>
          <w:rFonts w:hint="eastAsia" w:ascii="仿宋" w:hAnsi="仿宋" w:eastAsia="仿宋" w:cs="仿宋"/>
          <w:sz w:val="32"/>
          <w:szCs w:val="32"/>
          <w:lang w:eastAsia="zh-CN"/>
        </w:rPr>
        <w:t>居民事务中心主任杨文廷</w:t>
      </w:r>
      <w:r>
        <w:rPr>
          <w:rFonts w:hint="eastAsia" w:ascii="仿宋" w:hAnsi="仿宋" w:eastAsia="仿宋" w:cs="仿宋"/>
          <w:sz w:val="32"/>
          <w:szCs w:val="32"/>
        </w:rPr>
        <w:t>为组长，办公室主任及工作人员为成员的</w:t>
      </w:r>
      <w:r>
        <w:rPr>
          <w:rFonts w:hint="eastAsia" w:ascii="仿宋" w:hAnsi="仿宋" w:eastAsia="仿宋" w:cs="仿宋"/>
          <w:sz w:val="32"/>
          <w:szCs w:val="32"/>
          <w:lang w:eastAsia="zh-CN"/>
        </w:rPr>
        <w:t>居民事务中心</w:t>
      </w:r>
      <w:r>
        <w:rPr>
          <w:rFonts w:hint="eastAsia" w:ascii="仿宋" w:hAnsi="仿宋" w:eastAsia="仿宋" w:cs="仿宋"/>
          <w:sz w:val="32"/>
          <w:szCs w:val="32"/>
        </w:rPr>
        <w:t>政务公开工作领导小组，明确工作职责，确保完成年度政务公开目标任务。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在政务公开工作中，</w:t>
      </w:r>
      <w:r>
        <w:rPr>
          <w:rFonts w:hint="eastAsia" w:ascii="仿宋" w:hAnsi="仿宋" w:eastAsia="仿宋" w:cs="仿宋"/>
          <w:sz w:val="32"/>
          <w:szCs w:val="32"/>
          <w:lang w:eastAsia="zh-CN"/>
        </w:rPr>
        <w:t>居民事务中心</w:t>
      </w:r>
      <w:r>
        <w:rPr>
          <w:rFonts w:hint="eastAsia" w:ascii="仿宋" w:hAnsi="仿宋" w:eastAsia="仿宋" w:cs="仿宋"/>
          <w:sz w:val="32"/>
          <w:szCs w:val="32"/>
        </w:rPr>
        <w:t>按要求将应公开的政府信息全面公开，严格遵循保密规定，严禁将涉及国家秘密、商业秘密和个人隐私及其他按规定不宜或不能公开的政府信息对外公开，确保无泄密事件发生。2019年度，我</w:t>
      </w:r>
      <w:r>
        <w:rPr>
          <w:rFonts w:hint="eastAsia" w:ascii="仿宋" w:hAnsi="仿宋" w:eastAsia="仿宋" w:cs="仿宋"/>
          <w:sz w:val="32"/>
          <w:szCs w:val="32"/>
          <w:lang w:eastAsia="zh-CN"/>
        </w:rPr>
        <w:t>中心</w:t>
      </w:r>
      <w:r>
        <w:rPr>
          <w:rFonts w:hint="eastAsia" w:ascii="仿宋" w:hAnsi="仿宋" w:eastAsia="仿宋" w:cs="仿宋"/>
          <w:sz w:val="32"/>
          <w:szCs w:val="32"/>
        </w:rPr>
        <w:t>没有发生因政府信息公开引发的举报、投诉、行政复议、诉讼和申诉事件。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W w:w="8145" w:type="dxa"/>
        <w:jc w:val="center"/>
        <w:shd w:val="clear"/>
        <w:tblLayout w:type="autofit"/>
        <w:tblCellMar>
          <w:top w:w="15" w:type="dxa"/>
          <w:left w:w="15" w:type="dxa"/>
          <w:bottom w:w="15" w:type="dxa"/>
          <w:right w:w="15" w:type="dxa"/>
        </w:tblCellMar>
      </w:tblPr>
      <w:tblGrid>
        <w:gridCol w:w="3113"/>
        <w:gridCol w:w="1872"/>
        <w:gridCol w:w="1273"/>
        <w:gridCol w:w="1887"/>
      </w:tblGrid>
      <w:tr>
        <w:tblPrEx>
          <w:shd w:val="clear"/>
          <w:tblCellMar>
            <w:top w:w="15" w:type="dxa"/>
            <w:left w:w="15" w:type="dxa"/>
            <w:bottom w:w="15" w:type="dxa"/>
            <w:right w:w="15" w:type="dxa"/>
          </w:tblCellMar>
        </w:tblPrEx>
        <w:trPr>
          <w:jc w:val="center"/>
        </w:trPr>
        <w:tc>
          <w:tcPr>
            <w:tcW w:w="8145" w:type="dxa"/>
            <w:gridSpan w:val="4"/>
            <w:tcBorders>
              <w:top w:val="single" w:color="auto" w:sz="6" w:space="0"/>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第二十条第（一）项</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信息内容</w:t>
            </w:r>
          </w:p>
        </w:tc>
        <w:tc>
          <w:tcPr>
            <w:tcW w:w="187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本年新</w:t>
            </w:r>
            <w:r>
              <w:br w:type="textWrapping"/>
            </w:r>
            <w:r>
              <w:rPr>
                <w:rFonts w:ascii="Calibri" w:hAnsi="Calibri" w:eastAsia="Calibri" w:cs="Calibri"/>
                <w:sz w:val="20"/>
                <w:szCs w:val="20"/>
              </w:rPr>
              <w:t>制作数量</w:t>
            </w:r>
          </w:p>
        </w:tc>
        <w:tc>
          <w:tcPr>
            <w:tcW w:w="127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本年新</w:t>
            </w:r>
            <w:r>
              <w:br w:type="textWrapping"/>
            </w:r>
            <w:r>
              <w:rPr>
                <w:rFonts w:hint="default" w:ascii="Calibri" w:hAnsi="Calibri" w:eastAsia="Calibri" w:cs="Calibri"/>
                <w:sz w:val="20"/>
                <w:szCs w:val="20"/>
              </w:rPr>
              <w:t>公开数量</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对外公开总数量</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规章</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2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规范性文件</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2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r>
      <w:tr>
        <w:tblPrEx>
          <w:tblCellMar>
            <w:top w:w="15" w:type="dxa"/>
            <w:left w:w="15" w:type="dxa"/>
            <w:bottom w:w="15" w:type="dxa"/>
            <w:right w:w="15" w:type="dxa"/>
          </w:tblCellMar>
        </w:tblPrEx>
        <w:trPr>
          <w:jc w:val="center"/>
        </w:trPr>
        <w:tc>
          <w:tcPr>
            <w:tcW w:w="8145" w:type="dxa"/>
            <w:gridSpan w:val="4"/>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第二十条第（五）项</w:t>
            </w:r>
            <w:r>
              <w:t>   </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信息内容</w:t>
            </w:r>
          </w:p>
        </w:tc>
        <w:tc>
          <w:tcPr>
            <w:tcW w:w="187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上一年项目数量</w:t>
            </w:r>
          </w:p>
        </w:tc>
        <w:tc>
          <w:tcPr>
            <w:tcW w:w="127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本年增/减</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处理决定数量</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行政许可</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2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其他对外管理服务事项</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2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r>
      <w:tr>
        <w:tblPrEx>
          <w:tblCellMar>
            <w:top w:w="15" w:type="dxa"/>
            <w:left w:w="15" w:type="dxa"/>
            <w:bottom w:w="15" w:type="dxa"/>
            <w:right w:w="15" w:type="dxa"/>
          </w:tblCellMar>
        </w:tblPrEx>
        <w:trPr>
          <w:jc w:val="center"/>
        </w:trPr>
        <w:tc>
          <w:tcPr>
            <w:tcW w:w="8145" w:type="dxa"/>
            <w:gridSpan w:val="4"/>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第二十条第（六）项</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信息内容</w:t>
            </w:r>
          </w:p>
        </w:tc>
        <w:tc>
          <w:tcPr>
            <w:tcW w:w="187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上一年项目数量</w:t>
            </w:r>
          </w:p>
        </w:tc>
        <w:tc>
          <w:tcPr>
            <w:tcW w:w="127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本年增/减</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处理决定数量</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行政处罚</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12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1"/>
                <w:szCs w:val="21"/>
              </w:rPr>
              <w:t>0</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rPr>
                <w:rFonts w:hint="eastAsia" w:eastAsiaTheme="minorEastAsia"/>
                <w:lang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行政强制</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2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r>
      <w:tr>
        <w:tblPrEx>
          <w:tblCellMar>
            <w:top w:w="15" w:type="dxa"/>
            <w:left w:w="15" w:type="dxa"/>
            <w:bottom w:w="15" w:type="dxa"/>
            <w:right w:w="15" w:type="dxa"/>
          </w:tblCellMar>
        </w:tblPrEx>
        <w:trPr>
          <w:jc w:val="center"/>
        </w:trPr>
        <w:tc>
          <w:tcPr>
            <w:tcW w:w="8145" w:type="dxa"/>
            <w:gridSpan w:val="4"/>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第二十条第（八）项</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信息内容</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上一年项目数量</w:t>
            </w:r>
          </w:p>
        </w:tc>
        <w:tc>
          <w:tcPr>
            <w:tcW w:w="3165" w:type="dxa"/>
            <w:gridSpan w:val="2"/>
            <w:tcBorders>
              <w:top w:val="single" w:color="auto" w:sz="6" w:space="0"/>
              <w:left w:val="nil"/>
              <w:bottom w:val="single" w:color="auto" w:sz="6" w:space="0"/>
              <w:right w:val="single" w:color="000000"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本年增/减</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行政事业性收费</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c>
          <w:tcPr>
            <w:tcW w:w="3165" w:type="dxa"/>
            <w:gridSpan w:val="2"/>
            <w:tcBorders>
              <w:top w:val="nil"/>
              <w:left w:val="nil"/>
              <w:bottom w:val="single" w:color="auto" w:sz="6" w:space="0"/>
              <w:right w:val="single" w:color="000000"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0</w:t>
            </w:r>
          </w:p>
        </w:tc>
      </w:tr>
      <w:tr>
        <w:tblPrEx>
          <w:tblCellMar>
            <w:top w:w="15" w:type="dxa"/>
            <w:left w:w="15" w:type="dxa"/>
            <w:bottom w:w="15" w:type="dxa"/>
            <w:right w:w="15" w:type="dxa"/>
          </w:tblCellMar>
        </w:tblPrEx>
        <w:trPr>
          <w:jc w:val="center"/>
        </w:trPr>
        <w:tc>
          <w:tcPr>
            <w:tcW w:w="8145" w:type="dxa"/>
            <w:gridSpan w:val="4"/>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第二十条第（九）项</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信息内容</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采购项目数量</w:t>
            </w:r>
          </w:p>
        </w:tc>
        <w:tc>
          <w:tcPr>
            <w:tcW w:w="3165" w:type="dxa"/>
            <w:gridSpan w:val="2"/>
            <w:tcBorders>
              <w:top w:val="single" w:color="auto" w:sz="6" w:space="0"/>
              <w:left w:val="nil"/>
              <w:bottom w:val="single" w:color="auto" w:sz="6" w:space="0"/>
              <w:right w:val="single" w:color="000000"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采购总金额</w:t>
            </w:r>
          </w:p>
        </w:tc>
      </w:tr>
      <w:tr>
        <w:tblPrEx>
          <w:tblCellMar>
            <w:top w:w="15" w:type="dxa"/>
            <w:left w:w="15" w:type="dxa"/>
            <w:bottom w:w="15" w:type="dxa"/>
            <w:right w:w="15" w:type="dxa"/>
          </w:tblCellMar>
        </w:tblPrEx>
        <w:trPr>
          <w:jc w:val="center"/>
        </w:trPr>
        <w:tc>
          <w:tcPr>
            <w:tcW w:w="3120"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color w:val="000000"/>
                <w:sz w:val="20"/>
                <w:szCs w:val="20"/>
              </w:rPr>
              <w:t>政府集中采购</w:t>
            </w:r>
          </w:p>
        </w:tc>
        <w:tc>
          <w:tcPr>
            <w:tcW w:w="187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rPr>
                <w:rFonts w:hint="eastAsia" w:eastAsiaTheme="minorEastAsia"/>
                <w:lang w:eastAsia="zh-CN"/>
              </w:rPr>
            </w:pPr>
            <w:r>
              <w:rPr>
                <w:rFonts w:hint="eastAsia" w:ascii="宋体" w:hAnsi="宋体" w:eastAsia="宋体" w:cs="宋体"/>
                <w:color w:val="000000"/>
                <w:sz w:val="20"/>
                <w:szCs w:val="20"/>
                <w:lang w:val="en-US" w:eastAsia="zh-CN"/>
              </w:rPr>
              <w:t>0</w:t>
            </w:r>
          </w:p>
        </w:tc>
        <w:tc>
          <w:tcPr>
            <w:tcW w:w="3165" w:type="dxa"/>
            <w:gridSpan w:val="2"/>
            <w:tcBorders>
              <w:top w:val="nil"/>
              <w:left w:val="nil"/>
              <w:bottom w:val="single" w:color="auto" w:sz="6" w:space="0"/>
              <w:right w:val="single" w:color="000000" w:sz="6" w:space="0"/>
            </w:tcBorders>
            <w:shd w:val="clear"/>
            <w:vAlign w:val="center"/>
          </w:tcPr>
          <w:p>
            <w:pPr>
              <w:pStyle w:val="5"/>
              <w:keepNext w:val="0"/>
              <w:keepLines w:val="0"/>
              <w:widowControl/>
              <w:suppressLineNumbers w:val="0"/>
              <w:jc w:val="center"/>
              <w:rPr>
                <w:rFonts w:hint="eastAsia" w:eastAsiaTheme="minorEastAsia"/>
                <w:lang w:eastAsia="zh-CN"/>
              </w:rPr>
            </w:pPr>
            <w:r>
              <w:rPr>
                <w:rFonts w:hint="eastAsia" w:ascii="宋体" w:hAnsi="宋体" w:eastAsia="宋体" w:cs="宋体"/>
                <w:color w:val="000000"/>
                <w:sz w:val="20"/>
                <w:szCs w:val="20"/>
                <w:lang w:val="en-US" w:eastAsia="zh-CN"/>
              </w:rPr>
              <w:t>0</w:t>
            </w:r>
          </w:p>
        </w:tc>
      </w:tr>
    </w:tbl>
    <w:p>
      <w:pPr>
        <w:pStyle w:val="5"/>
        <w:keepNext w:val="0"/>
        <w:keepLines w:val="0"/>
        <w:widowControl/>
        <w:suppressLineNumbers w:val="0"/>
        <w:spacing w:before="210" w:beforeAutospacing="0" w:after="210" w:afterAutospacing="0" w:line="23" w:lineRule="atLeast"/>
        <w:ind w:firstLine="320" w:firstLineChars="100"/>
        <w:rPr>
          <w:rFonts w:hint="eastAsia" w:ascii="宋体" w:hAnsi="宋体" w:eastAsia="宋体" w:cs="宋体"/>
          <w:sz w:val="24"/>
          <w:szCs w:val="24"/>
        </w:rPr>
      </w:pPr>
      <w:r>
        <w:rPr>
          <w:rFonts w:hint="eastAsia" w:ascii="黑体" w:hAnsi="黑体" w:eastAsia="黑体" w:cs="黑体"/>
          <w:sz w:val="32"/>
          <w:szCs w:val="32"/>
        </w:rPr>
        <w:t>三、收到和处理政府信息公开申请情况</w:t>
      </w:r>
    </w:p>
    <w:tbl>
      <w:tblPr>
        <w:tblW w:w="90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4"/>
        <w:gridCol w:w="853"/>
        <w:gridCol w:w="2081"/>
        <w:gridCol w:w="809"/>
        <w:gridCol w:w="749"/>
        <w:gridCol w:w="749"/>
        <w:gridCol w:w="809"/>
        <w:gridCol w:w="973"/>
        <w:gridCol w:w="719"/>
        <w:gridCol w:w="7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5" w:type="dxa"/>
            <w:gridSpan w:val="3"/>
            <w:vMerge w:val="restart"/>
            <w:tcBorders>
              <w:top w:val="single" w:color="auto" w:sz="6" w:space="0"/>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（本列数据的勾稽关系为：第一项加第二项之和，等于第三项加第四项之和）</w:t>
            </w:r>
          </w:p>
        </w:tc>
        <w:tc>
          <w:tcPr>
            <w:tcW w:w="5520" w:type="dxa"/>
            <w:gridSpan w:val="7"/>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5" w:type="dxa"/>
            <w:gridSpan w:val="3"/>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10" w:type="dxa"/>
            <w:vMerge w:val="restart"/>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自然人</w:t>
            </w:r>
          </w:p>
        </w:tc>
        <w:tc>
          <w:tcPr>
            <w:tcW w:w="4005" w:type="dxa"/>
            <w:gridSpan w:val="5"/>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法人或其他组织</w:t>
            </w:r>
          </w:p>
        </w:tc>
        <w:tc>
          <w:tcPr>
            <w:tcW w:w="690" w:type="dxa"/>
            <w:vMerge w:val="restart"/>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5" w:type="dxa"/>
            <w:gridSpan w:val="3"/>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商业企业</w:t>
            </w:r>
          </w:p>
        </w:tc>
        <w:tc>
          <w:tcPr>
            <w:tcW w:w="75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科研机构</w:t>
            </w:r>
          </w:p>
        </w:tc>
        <w:tc>
          <w:tcPr>
            <w:tcW w:w="81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社会公益组织</w:t>
            </w:r>
          </w:p>
        </w:tc>
        <w:tc>
          <w:tcPr>
            <w:tcW w:w="97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法律服务机构</w:t>
            </w:r>
          </w:p>
        </w:tc>
        <w:tc>
          <w:tcPr>
            <w:tcW w:w="705"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其他</w:t>
            </w:r>
          </w:p>
        </w:tc>
        <w:tc>
          <w:tcPr>
            <w:tcW w:w="690"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5" w:type="dxa"/>
            <w:gridSpan w:val="3"/>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sz w:val="20"/>
                <w:szCs w:val="20"/>
              </w:rPr>
              <w:t>一、本年新收政府信息公开申请数量</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5" w:type="dxa"/>
            <w:gridSpan w:val="3"/>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sz w:val="20"/>
                <w:szCs w:val="20"/>
              </w:rPr>
              <w:t>二、上年结转政府信息公开申请数量</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restart"/>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三、本年度办理结果</w:t>
            </w:r>
          </w:p>
        </w:tc>
        <w:tc>
          <w:tcPr>
            <w:tcW w:w="2940" w:type="dxa"/>
            <w:gridSpan w:val="2"/>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ascii="楷体" w:hAnsi="楷体" w:eastAsia="楷体" w:cs="楷体"/>
                <w:sz w:val="20"/>
                <w:szCs w:val="20"/>
              </w:rPr>
              <w:t>（一）予以公开</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single" w:color="auto" w:sz="6" w:space="0"/>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2940" w:type="dxa"/>
            <w:gridSpan w:val="2"/>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（二）部分公开（区分处理的，只计这一情形，不计其他情形）</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（三）不予公开</w:t>
            </w: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1.属于国家秘密</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single" w:color="auto" w:sz="6" w:space="0"/>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2.其他法律行政法规禁止公开</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3.危及“三安全一稳定”</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4.保护第三方合法权益</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5.属于三类内部事务信息</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6.属于四类过程性信息</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7.属于行政执法案卷</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8.属于行政查询事项</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（四）无法提供</w:t>
            </w: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1.本机关不掌握相关政府信息</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2.没有现成信息需要另行制作</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3.补正后申请内容仍不明确</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（五）不予处理</w:t>
            </w: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1.信访举报投诉类申请</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2.重复申请</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3.要求提供公开出版物</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4.无正当理由大量反复申请</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5.要求行政机关确认或重新出具已获取信息</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2940" w:type="dxa"/>
            <w:gridSpan w:val="2"/>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（六）其他处理</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2940" w:type="dxa"/>
            <w:gridSpan w:val="2"/>
            <w:tcBorders>
              <w:top w:val="nil"/>
              <w:left w:val="nil"/>
              <w:bottom w:val="single" w:color="auto" w:sz="6" w:space="0"/>
              <w:right w:val="single" w:color="auto" w:sz="6" w:space="0"/>
            </w:tcBorders>
            <w:shd w:val="clear"/>
            <w:vAlign w:val="center"/>
          </w:tcPr>
          <w:p>
            <w:pPr>
              <w:pStyle w:val="5"/>
              <w:keepNext w:val="0"/>
              <w:keepLines w:val="0"/>
              <w:widowControl/>
              <w:suppressLineNumbers w:val="0"/>
            </w:pPr>
            <w:r>
              <w:rPr>
                <w:rFonts w:hint="eastAsia" w:ascii="楷体" w:hAnsi="楷体" w:eastAsia="楷体" w:cs="楷体"/>
                <w:sz w:val="20"/>
                <w:szCs w:val="20"/>
              </w:rPr>
              <w:t>（七）总计</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5" w:type="dxa"/>
            <w:gridSpan w:val="3"/>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Pr>
            <w:r>
              <w:rPr>
                <w:rFonts w:hint="eastAsia" w:ascii="宋体" w:hAnsi="宋体" w:eastAsia="宋体" w:cs="宋体"/>
                <w:sz w:val="20"/>
                <w:szCs w:val="20"/>
              </w:rPr>
              <w:t>四、结转下年度继续办理</w:t>
            </w: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81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97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4"/>
                <w:szCs w:val="24"/>
              </w:rPr>
              <w:t>0</w:t>
            </w:r>
          </w:p>
        </w:tc>
      </w:tr>
    </w:tbl>
    <w:p>
      <w:pPr>
        <w:pStyle w:val="5"/>
        <w:keepNext w:val="0"/>
        <w:keepLines w:val="0"/>
        <w:widowControl/>
        <w:suppressLineNumbers w:val="0"/>
        <w:spacing w:before="210" w:beforeAutospacing="0" w:after="210" w:afterAutospacing="0" w:line="23" w:lineRule="atLeast"/>
        <w:rPr>
          <w:rFonts w:hint="eastAsia" w:ascii="黑体" w:hAnsi="黑体" w:eastAsia="黑体" w:cs="黑体"/>
          <w:sz w:val="32"/>
          <w:szCs w:val="32"/>
        </w:rPr>
      </w:pPr>
      <w:r>
        <w:rPr>
          <w:rFonts w:hint="eastAsia" w:ascii="宋体" w:hAnsi="宋体" w:eastAsia="宋体" w:cs="宋体"/>
          <w:sz w:val="24"/>
          <w:szCs w:val="24"/>
        </w:rPr>
        <w:t>　　</w:t>
      </w:r>
      <w:r>
        <w:rPr>
          <w:rFonts w:hint="eastAsia" w:ascii="黑体" w:hAnsi="黑体" w:eastAsia="黑体" w:cs="黑体"/>
          <w:sz w:val="32"/>
          <w:szCs w:val="32"/>
        </w:rPr>
        <w:t>四、政府信息公开行政复议、行政诉讼情况</w:t>
      </w:r>
    </w:p>
    <w:tbl>
      <w:tblPr>
        <w:tblW w:w="90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3075" w:type="dxa"/>
            <w:gridSpan w:val="5"/>
            <w:tcBorders>
              <w:top w:val="single" w:color="auto" w:sz="6" w:space="0"/>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行政复议</w:t>
            </w:r>
          </w:p>
        </w:tc>
        <w:tc>
          <w:tcPr>
            <w:tcW w:w="6000" w:type="dxa"/>
            <w:gridSpan w:val="10"/>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600" w:type="dxa"/>
            <w:vMerge w:val="restart"/>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结果维持</w:t>
            </w:r>
          </w:p>
        </w:tc>
        <w:tc>
          <w:tcPr>
            <w:tcW w:w="600" w:type="dxa"/>
            <w:vMerge w:val="restart"/>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结果纠正</w:t>
            </w:r>
          </w:p>
        </w:tc>
        <w:tc>
          <w:tcPr>
            <w:tcW w:w="600" w:type="dxa"/>
            <w:vMerge w:val="restart"/>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其他结果</w:t>
            </w:r>
          </w:p>
        </w:tc>
        <w:tc>
          <w:tcPr>
            <w:tcW w:w="600" w:type="dxa"/>
            <w:vMerge w:val="restart"/>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尚未审结</w:t>
            </w:r>
          </w:p>
        </w:tc>
        <w:tc>
          <w:tcPr>
            <w:tcW w:w="660" w:type="dxa"/>
            <w:vMerge w:val="restart"/>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总计</w:t>
            </w:r>
          </w:p>
        </w:tc>
        <w:tc>
          <w:tcPr>
            <w:tcW w:w="2970" w:type="dxa"/>
            <w:gridSpan w:val="5"/>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未经复议直接起诉</w:t>
            </w:r>
          </w:p>
        </w:tc>
        <w:tc>
          <w:tcPr>
            <w:tcW w:w="3030" w:type="dxa"/>
            <w:gridSpan w:val="5"/>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0"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sz w:val="24"/>
                <w:szCs w:val="24"/>
              </w:rPr>
            </w:pPr>
          </w:p>
        </w:tc>
        <w:tc>
          <w:tcPr>
            <w:tcW w:w="660"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结果维持</w:t>
            </w:r>
          </w:p>
        </w:tc>
        <w:tc>
          <w:tcPr>
            <w:tcW w:w="60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结果纠正</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其他结果</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尚未审结</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总计</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结果维持</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结果纠正</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其他结果</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0"/>
                <w:szCs w:val="20"/>
              </w:rPr>
              <w:t>尚未审结</w:t>
            </w:r>
          </w:p>
        </w:tc>
        <w:tc>
          <w:tcPr>
            <w:tcW w:w="60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color w:val="000000"/>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0" w:type="dxa"/>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ascii="仿宋_gb2312" w:hAnsi="仿宋_gb2312" w:eastAsia="仿宋_gb2312" w:cs="仿宋_gb2312"/>
                <w:sz w:val="28"/>
                <w:szCs w:val="28"/>
              </w:rPr>
              <w:t>0 </w:t>
            </w:r>
          </w:p>
        </w:tc>
        <w:tc>
          <w:tcPr>
            <w:tcW w:w="555"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default" w:ascii="仿宋_gb2312" w:hAnsi="仿宋_gb2312" w:eastAsia="仿宋_gb2312" w:cs="仿宋_gb2312"/>
                <w:sz w:val="28"/>
                <w:szCs w:val="28"/>
              </w:rPr>
              <w:t> 0</w:t>
            </w: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jc w:val="center"/>
            </w:pPr>
            <w:r>
              <w:rPr>
                <w:rFonts w:hint="eastAsia" w:ascii="宋体" w:hAnsi="宋体" w:eastAsia="宋体" w:cs="宋体"/>
                <w:sz w:val="28"/>
                <w:szCs w:val="28"/>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中心</w:t>
      </w:r>
      <w:r>
        <w:rPr>
          <w:rFonts w:hint="eastAsia" w:ascii="仿宋" w:hAnsi="仿宋" w:eastAsia="仿宋" w:cs="仿宋"/>
          <w:sz w:val="32"/>
          <w:szCs w:val="32"/>
        </w:rPr>
        <w:t>信息公开的工作制度、内容、服务意识等方面还存在诸多不足，比如：信息公开的工作制度和程序有待进一步细化；信息公开侧重点有待进一步明确；信息公开的质量有待进一步加强等。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在下阶段工作中，我</w:t>
      </w:r>
      <w:r>
        <w:rPr>
          <w:rFonts w:hint="eastAsia" w:ascii="仿宋" w:hAnsi="仿宋" w:eastAsia="仿宋" w:cs="仿宋"/>
          <w:sz w:val="32"/>
          <w:szCs w:val="32"/>
          <w:lang w:eastAsia="zh-CN"/>
        </w:rPr>
        <w:t>中心</w:t>
      </w:r>
      <w:r>
        <w:rPr>
          <w:rFonts w:hint="eastAsia" w:ascii="仿宋" w:hAnsi="仿宋" w:eastAsia="仿宋" w:cs="仿宋"/>
          <w:sz w:val="32"/>
          <w:szCs w:val="32"/>
        </w:rPr>
        <w:t>将加强政务公开标准化、规范化建设,深入推进各重点领域信息公开工作;强化政府网站信息公开第一平台作用，确保信息公开的及时性、准确性，推动政务公开从政府主导型向公众需求型转变。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居民事务中心</w:t>
      </w:r>
      <w:r>
        <w:rPr>
          <w:rFonts w:hint="eastAsia" w:ascii="仿宋" w:hAnsi="仿宋" w:eastAsia="仿宋" w:cs="仿宋"/>
          <w:sz w:val="32"/>
          <w:szCs w:val="32"/>
        </w:rPr>
        <w:t>无其他需要报告的事项。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jc w:val="left"/>
        <w:textAlignment w:val="auto"/>
        <w:rPr>
          <w:rFonts w:hint="eastAsia" w:ascii="仿宋" w:hAnsi="仿宋" w:eastAsia="仿宋" w:cs="仿宋"/>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640" w:firstLineChars="200"/>
        <w:jc w:val="left"/>
        <w:textAlignment w:val="auto"/>
        <w:rPr>
          <w:rFonts w:hint="eastAsia" w:ascii="仿宋" w:hAnsi="仿宋" w:eastAsia="仿宋" w:cs="仿宋"/>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4480" w:firstLineChars="14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代县居民事务中心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8" w:lineRule="exact"/>
        <w:ind w:firstLine="4480" w:firstLineChars="14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2020年1月15日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D41C6"/>
    <w:rsid w:val="53CD19A8"/>
    <w:rsid w:val="59EA6BC9"/>
    <w:rsid w:val="75A73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3D3D3D"/>
      <w:u w:val="none"/>
    </w:rPr>
  </w:style>
  <w:style w:type="character" w:styleId="9">
    <w:name w:val="Hyperlink"/>
    <w:basedOn w:val="7"/>
    <w:uiPriority w:val="0"/>
    <w:rPr>
      <w:color w:val="3D3D3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云淡风轻1411401042</cp:lastModifiedBy>
  <cp:lastPrinted>2020-01-16T07:33:01Z</cp:lastPrinted>
  <dcterms:modified xsi:type="dcterms:W3CDTF">2020-01-16T07:39:53Z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