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before="0" w:after="0" w:line="41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1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代县人民政府办公室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关于印发代县绿色建筑专项行动方案的通知</w:t>
      </w: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《代县绿色建筑专项行动方案》已经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政府同意，现印发给你们，请认真贯彻执行。</w:t>
      </w: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代县人民政府办公室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widowControl w:val="0"/>
        <w:wordWrap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2021年5月24日        </w:t>
      </w: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3" w:name="_GoBack"/>
      <w:bookmarkEnd w:id="3"/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jc w:val="center"/>
        <w:textAlignment w:val="auto"/>
        <w:sectPr>
          <w:footerReference r:id="rId4" w:type="default"/>
          <w:pgSz w:w="11906" w:h="16838"/>
          <w:pgMar w:top="1701" w:right="1474" w:bottom="1587" w:left="1587" w:header="851" w:footer="992" w:gutter="0"/>
          <w:paperSrc w:first="0" w:other="0"/>
          <w:pgNumType w:fmt="numberInDash"/>
          <w:cols w:space="0" w:num="1"/>
          <w:docGrid w:type="lines" w:linePitch="312"/>
        </w:sectPr>
      </w:pPr>
    </w:p>
    <w:p>
      <w:pPr>
        <w:widowControl w:val="0"/>
        <w:wordWrap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代县绿色建筑专项行动方案</w:t>
      </w:r>
    </w:p>
    <w:p>
      <w:pPr>
        <w:widowControl w:val="0"/>
        <w:wordWrap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4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为贯彻落实国家、省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关于能源革命和绿色生活创建行动有关部署，按照《忻州市深化能源革命综合改革打造绿色能源基 地2019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2020工作任务清单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（忻市发〔2019〕25号）、《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能源革命综合改革试点2020年行动计划》（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代能源综改办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字〔2020〕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省住建厅《关于印发〈绿色建筑专项行动方案〉的通知》（晋建科字〔2020〕58号）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和忻州市人民政府《关于印发忻州市绿色建筑专项行动方案的通知》（忻政办函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〔2020〕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129号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要求，推动我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建筑节能与绿色建筑高质量发展，制定本方案。</w:t>
      </w:r>
    </w:p>
    <w:p>
      <w:pPr>
        <w:widowControl w:val="0"/>
        <w:wordWrap/>
        <w:adjustRightInd/>
        <w:snapToGrid/>
        <w:spacing w:before="0" w:after="0" w:line="54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一、总体要求</w:t>
      </w:r>
    </w:p>
    <w:p>
      <w:pPr>
        <w:widowControl w:val="0"/>
        <w:wordWrap/>
        <w:adjustRightInd/>
        <w:snapToGrid/>
        <w:spacing w:before="0" w:after="0" w:line="54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（一）总体思路</w:t>
      </w:r>
    </w:p>
    <w:p>
      <w:pPr>
        <w:widowControl w:val="0"/>
        <w:wordWrap/>
        <w:adjustRightInd/>
        <w:snapToGrid/>
        <w:spacing w:before="0" w:after="0" w:line="54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以习近平新时代中国特色社会主义思想为指导，全面贯彻 党的十九大和十九届二中、三中、四中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、五中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全会精神，认真落实省委“四为四高两同步”总体思路和要求，紧紧围绕能源革命综合改革试点要求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，以绿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创新为主线，深入推进建筑能效提升和绿色建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筑发展，稳步发展装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配式建筑和可再生能源建筑应用，加强科技创新能力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推行绿色建造，提升建筑品质，为建筑节能与科技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“十四五”良好开局奠定基础。</w:t>
      </w:r>
    </w:p>
    <w:p>
      <w:pPr>
        <w:widowControl w:val="0"/>
        <w:wordWrap/>
        <w:adjustRightInd/>
        <w:snapToGrid/>
        <w:spacing w:before="0" w:after="0" w:line="54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（二）工作目标</w:t>
      </w:r>
    </w:p>
    <w:p>
      <w:pPr>
        <w:widowControl w:val="0"/>
        <w:wordWrap/>
        <w:adjustRightInd/>
        <w:snapToGrid/>
        <w:spacing w:before="0" w:after="0" w:line="54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新开工的居住建筑，全面执行新建居住建筑75%节能标 准。新建建筑节能标准执行率100%。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在新竣工验收建筑中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绿色建筑占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城镇新建建筑面积比例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2021年达到55%, 2022年达到60%。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新开工建筑全面执行绿色建筑标准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政府投资类公益性 建筑、大型公共建筑、保障性住房、建筑规模20万平方米以上的住宅小区，执行一星级及以上绿色建筑标准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积极创建绿色建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创新项目。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新建建筑中可再生能源应用比例达到50%。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装配式建筑占新建建筑面积的比例 2021年达到20%, 2022年达到25%。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全面推进既有建筑节能改造工作。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二、重点任务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(一)加快提升建筑能效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开展建筑能效提升工程，自2020年5月1日起全面执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新建居住建筑75%节能标准，严格按照《居住建筑节能设计标准》 (DBJ04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2020 )进行设计施工，按照《建筑节能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工程施工质量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验收标准》(GB5041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2019)、《绿色建筑评价标准》(GB/T50378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2019 )和《装配式建筑评价标准》(GB/T51129—2017)进行验收。高层建筑全面推行保温结构一体化技术应用(如保模一体化技术和钢丝网架挤塑板技术应用)，设计单位在设计说明中要明确提出相应技术措施和防火要求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进一步加大可再生能源建筑应用推广力度，继续做好太阳 能光热光电技术应用，新建医院、学生宿舍、食堂、宾馆和洗浴场所等有热水需求的公共建筑和居住建筑逆12层强制推广太 阳能光热一体化应用技术，结合实际继续推广光伏、空气源热泵、地源热泵、污水热源等可再生能源建筑应用；做好中水回用和雨水回收，我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20万平方米以上项目应设置中水回用和雨水回收设施；结合清洁取暖和老旧小区改造，推进年度既有建筑节能改造工作，确保完成年度任务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（二）开展绿色建筑创新示范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不断提高绿色建筑发展规模和水平，积极推进绿色建筑集 中示范区建设，确保绿色建筑集中示范区内新建建筑全面执行 绿色建筑标准，并取得一星级及以上绿色建筑设计标识不少于 30%。政府投资公益性建筑、2万平方米及以上的大型公共建筑、 保障性住房、建筑规模20万平方米以上的住宅小区全面执行一 星级及以上绿色建筑设计标准并取得标识。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加强绿色建筑竣工验收监管，确保绿色建筑所占比例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年达到5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%,积极培育本地高星级绿色建筑。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积极培育申报绿色建筑创新示范项目，力争在全生命周期 BIM、铝模板、装配式、绿色建造及基于5G移动互联网智能化管理方面达到国内领先水平。省住建厅研究制定了《绿色建筑创新示范技术指导清单》（附后）开展绿色建筑创新示范评选，发布示范项目名录。2022年前确保至少创建1个绿色建筑创新示范项目，超限高层建筑应率先创建绿色建筑创新示范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逐步提升装配式建筑水平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推进建筑产业现代化，积极开展钢结构和混凝土结构装配 式建筑推广工作，加快装配式建筑产业基地和项目建设,开展钢结构装配式住宅试点，建筑面积20万平方米以上住宅小区项目装配式建筑比例应达到25%以上，工业建筑项目装配式建筑比例应达到80%以上，确保全年装配式建筑占新建建筑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的比例达到15%的要求。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（四）培育建筑领域科技领军企业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发挥企业推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源革命主体作用，推动建筑业由传统粗放向绿色高质量转型发展。引导企业加大绿色技术创新及研发投入，积极应用新技术、新工艺、新材料、新产品,强化以科技创新为核心的市场竞争力。配合省住建厅做好企业创新能力评价，培育并组织申报科技型企业。组织申报建筑节能技术（产品）、建设科技成果登记和住建部、省住建厅、省科技厅科技计划项目。积极参与建设大讲堂活动，组织引导有条件的企业、项目参与专题讲座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（五）推行智慧建筑建造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积极推广智慧工地，增强BIM、大数据、智能化、移动通信、云计算、物联网等信息技术集成应用能力，对工地用工、安全生产、现场作业、环境保护等情况进行动态监管。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（六）推行绿色建造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树立绿色发展理念，在设计、施工、运营维护各阶段进行全过程绿色统筹。工程初步设计方案要明确绿色、装配式、超低能耗等节能目标要求。施工图设计文件要编制节能和绿色建筑专篇，绿色建筑应对绿色建筑星级得分进行预评价，装配式建筑要对装配率进行预评价。施工组织设计要综合应用“四节一环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，采用绿色建材，引导本地建材企业转型升级，积极组织装配式建筑部品部件、砌体材料、高性能门窗和预拌砂浆等优秀建材企业申报取得绿色建材评价标识，加大绿色建材推广应用力度，满足绿色施工要求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三、保障措施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（一）加强组织协调。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根据《山西省民用建筑节能条例》《山西省节约能源条例》和《山西省城乡规划条例》等法规、文件要求，加强部门之间的沟通协调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明确发展目标和实施路径。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规划部门在出具地块规划设计条件时，应进一步明确建 筑节能设计标准与绿色建筑星级指标、装配式建筑比例、装配率等建设指标，提出对出让地块、划拨地块建筑节能与绿色建筑、装配式建筑建设的实施任务。规划设计方案初评时应通知建筑节能主管部门参加评审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行政审批部门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目单 位的申请报吿（或可行性研究报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）落实建筑节能与绿色建筑、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装配式建筑的有关内容进行审核，在进行工程规划许可审批时, 应审查设计方案是否落实规划条件或选址意见书对建筑节能与 绿色建筑、装配式建筑建设的要求；不符合要求的项目，不得发放建设工程规划许可证、建设工程施工许可证，符合要求的项目建设单位应出具承诺书。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建设单位组织竣工验收，应当对民用建筑执行节能强制 性标准、绿色建筑、装配式建筑指标情况进行验收；未经验收或者验收不合格的，不得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工验收合格报告，行政审批部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门不得办理建设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工程验收备案。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（二）强化过程监管。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建设单位应就绿色建筑基本级、装配式建筑及时进行评价；对一星级及以上的绿色建筑应出具设计阶段预评审报告；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建部门要建立建筑节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项目档案，对取得施工许可的建筑工程，认真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监管责任,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督促各方主体严格执行建筑节能、绿色建筑、装配式建筑要求；要加强事中事后监管，采取日常检查和双随机检查等多种方式，强化监督执法检查，对检查发现的问题，及时督促落实整改，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对检查发现的问题，及时督促落实整改，对违法违规行为依法进行处罚，记入企业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诚信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档案。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（三）完善激励机制。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鼓励房地产开发、设计、施工、材料生产等企业及人员积极参与绿色建筑创新示范，相关业绩作为建筑业、房地产开发、勘察设计等企业动态考核、诚信评价以及住建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部门组织的各类评优评先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和人员职称评定的重要依据，优先登记建设科技成果，优先推荐科技计划项目和绿色建筑创新奖。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（四）加强督促考核。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建立工作目标责任考核体系，建立月报制度和城镇绿色建筑发展水平评估制度，建立月报考核制度。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县自然资源局、县行政审批服务管理局要明确责任部门和责任人，每月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9日前向县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局报送推进情况，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年底前报送全年工作总结，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县住建局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应对推进情况和成效进行动态指导和监督考核。监察部门要紧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出让、建筑节能和绿色建筑、工程规划、施工许可、验收备案等行政审批、项目监管、评估示范、激励奖励等廉政风险点，强化对权力运行的制约和监督,加大追责问责力度，保障和推动建筑节能和绿色建筑、装配式建筑有序健康发展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附件:绿色建筑创新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技术指导清单（试行）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33"/>
      <w:bookmarkStart w:id="1" w:name="bookmark32"/>
      <w:bookmarkStart w:id="2" w:name="bookmark34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绿色建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创新项目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指导清单（试行）</w:t>
      </w:r>
      <w:bookmarkEnd w:id="0"/>
      <w:bookmarkEnd w:id="1"/>
      <w:bookmarkEnd w:id="2"/>
    </w:p>
    <w:tbl>
      <w:tblPr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461"/>
        <w:gridCol w:w="988"/>
        <w:gridCol w:w="2771"/>
        <w:gridCol w:w="541"/>
        <w:gridCol w:w="3806"/>
      </w:tblGrid>
      <w:tr>
        <w:trPr>
          <w:trHeight w:val="440" w:hRule="exact"/>
          <w:jc w:val="center"/>
        </w:trPr>
        <w:tc>
          <w:tcPr>
            <w:tcW w:w="633" w:type="dxa"/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tabs>
                <w:tab w:val="left" w:pos="984"/>
                <w:tab w:val="left" w:pos="7373"/>
              </w:tabs>
              <w:wordWrap/>
              <w:adjustRightInd/>
              <w:snapToGrid/>
              <w:spacing w:after="0" w:line="20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eastAsia="zh-CN"/>
              </w:rPr>
              <w:t>基本</w:t>
            </w:r>
          </w:p>
          <w:p>
            <w:pPr>
              <w:pStyle w:val="7"/>
              <w:widowControl w:val="0"/>
              <w:shd w:val="clear" w:color="auto" w:fill="auto"/>
              <w:tabs>
                <w:tab w:val="left" w:pos="984"/>
                <w:tab w:val="left" w:pos="7373"/>
              </w:tabs>
              <w:wordWrap/>
              <w:adjustRightInd/>
              <w:snapToGrid/>
              <w:spacing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eastAsia="zh-CN"/>
              </w:rPr>
              <w:t>要求</w:t>
            </w:r>
          </w:p>
        </w:tc>
        <w:tc>
          <w:tcPr>
            <w:tcW w:w="8567" w:type="dxa"/>
            <w:gridSpan w:val="5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达到现行《绿色建筑评价标准》一星级及以上；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4464"/>
              </w:tabs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取得1项及以上科技成果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widowControl w:val="0"/>
              <w:shd w:val="clear" w:color="auto" w:fill="auto"/>
              <w:wordWrap/>
              <w:adjustRightInd/>
              <w:snapToGrid/>
              <w:spacing w:before="0"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必选技术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建筑信息模型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（BIM）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超低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能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耗技术</w:t>
            </w: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装配式建造技术（装配式建筑项目装配率要达到5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0%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以上）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铝模板技术</w:t>
            </w:r>
          </w:p>
        </w:tc>
      </w:tr>
      <w:tr>
        <w:trPr>
          <w:trHeight w:val="281" w:hRule="exact"/>
          <w:jc w:val="center"/>
        </w:trPr>
        <w:tc>
          <w:tcPr>
            <w:tcW w:w="633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保温结构一体化技术（玻璃幕墙除外）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可再生能源建筑应用一体化技术</w:t>
            </w:r>
          </w:p>
        </w:tc>
      </w:tr>
      <w:tr>
        <w:trPr>
          <w:trHeight w:val="301" w:hRule="exact"/>
          <w:jc w:val="center"/>
        </w:trPr>
        <w:tc>
          <w:tcPr>
            <w:tcW w:w="633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能耗监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测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管理系统（公共建筑）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创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新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术 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（根 据项 目实 际， 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至少 选择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3种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以上 技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术，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并达 到国 内领 先水 平）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leader="dot" w:pos="3300"/>
              </w:tabs>
              <w:wordWrap/>
              <w:adjustRightInd/>
              <w:snapToGrid/>
              <w:spacing w:line="200" w:lineRule="exact"/>
              <w:ind w:left="1740" w:right="0" w:firstLine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注</w:t>
            </w:r>
          </w:p>
        </w:tc>
      </w:tr>
      <w:tr>
        <w:trPr>
          <w:trHeight w:val="503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widowControl w:val="0"/>
              <w:shd w:val="clear" w:color="auto" w:fill="auto"/>
              <w:wordWrap/>
              <w:adjustRightInd/>
              <w:snapToGrid/>
              <w:spacing w:before="0"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建筑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生态恢复或补偿技术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本土化绿化、表层土保护和回收利用、多样化生态体系、多层空间的立体绿化体系等</w:t>
            </w:r>
          </w:p>
        </w:tc>
      </w:tr>
      <w:tr>
        <w:trPr>
          <w:trHeight w:val="25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降低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热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岛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强度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6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提升建筑适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变性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空间灵活可变、管线与结构分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离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设施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设备可变</w:t>
            </w: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被动节能技术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效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保温、可调节外遮阳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天然采光、自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然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通风</w:t>
            </w: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恒温、恒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湿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恒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氧、恒静、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恒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洁技术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适老化住宅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设计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4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widowControl w:val="0"/>
              <w:shd w:val="clear" w:color="auto" w:fill="auto"/>
              <w:wordWrap/>
              <w:adjustRightInd/>
              <w:snapToGrid/>
              <w:spacing w:before="0" w:line="200" w:lineRule="exact"/>
              <w:ind w:left="0" w:right="0" w:firstLine="60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结构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地基基础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和地下空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间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基坑支护结构施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9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砼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核心筒的装配式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主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体结构体系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采用钢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结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构框架</w:t>
            </w:r>
          </w:p>
        </w:tc>
      </w:tr>
      <w:tr>
        <w:trPr>
          <w:trHeight w:val="26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深基坑施工监测技术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7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钢筋与混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凝土技术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耐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久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性混凝土技术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耐久性要求高的各类混疑土结构工程</w:t>
            </w:r>
          </w:p>
        </w:tc>
      </w:tr>
      <w:tr>
        <w:trPr>
          <w:trHeight w:val="469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高强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性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能混凝土技术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高层与超髙层建筑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竖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向构件、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预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应力结构、混凝土强度要求较高的结构工程</w:t>
            </w:r>
          </w:p>
        </w:tc>
      </w:tr>
      <w:tr>
        <w:trPr>
          <w:trHeight w:val="305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高强钢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筋应用技术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热轧高强钢筋应用技术、髙强冷轧带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肋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钢筋应用技术等</w:t>
            </w: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280" w:right="0" w:hanging="8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钢结构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280" w:right="0" w:hanging="8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高性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能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钢材应用技术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髙层建筑、大型公共建筑、大型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桥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梁等结构用钢</w:t>
            </w:r>
          </w:p>
        </w:tc>
      </w:tr>
      <w:tr>
        <w:trPr>
          <w:trHeight w:val="26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钢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结构防腐防火技术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2170"/>
              </w:tabs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各类建筑钢结构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装配式混凝土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结构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装配式混凝土剪力墙结构技术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抗震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设防烈度为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6-8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度区工程</w:t>
            </w: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混凝土叠合楼板技术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各类房屋中的楼盖结构</w:t>
            </w: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预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制混凝土外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墙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挂板技术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钢结构的公共建筑、住宅建筑</w:t>
            </w:r>
          </w:p>
        </w:tc>
      </w:tr>
      <w:tr>
        <w:trPr>
          <w:trHeight w:val="26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叠合剪力墙结构技术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抗震设防烈度为6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-8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度的多层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高层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建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筑</w:t>
            </w:r>
          </w:p>
        </w:tc>
      </w:tr>
      <w:tr>
        <w:trPr>
          <w:trHeight w:val="285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预制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预应力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混凝土构件技术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各类工业与民用建筑</w:t>
            </w: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widowControl w:val="0"/>
              <w:shd w:val="clear" w:color="auto" w:fill="auto"/>
              <w:wordWrap/>
              <w:adjustRightInd/>
              <w:snapToGrid/>
              <w:spacing w:before="0"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设备管线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可再生能 源技术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光伏建筑一体化技术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地热能供热、制冷技术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浅层、中深层地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热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能，污水源热泵等</w:t>
            </w:r>
          </w:p>
        </w:tc>
      </w:tr>
      <w:tr>
        <w:trPr>
          <w:trHeight w:val="25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空气源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热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泵技术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安装技术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装配式全装修技术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集成厨房、集成卫生间、管线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分离等</w:t>
            </w:r>
          </w:p>
        </w:tc>
      </w:tr>
      <w:tr>
        <w:trPr>
          <w:trHeight w:val="26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非传统水源技术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雨水利用与生态水处理技术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271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中水回用技术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rPr>
          <w:trHeight w:val="497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高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效利用技术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排风热回收技术、电梯能量回馈技术、储能技术、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微电网技术、交直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混合配电技术等</w:t>
            </w:r>
          </w:p>
        </w:tc>
      </w:tr>
      <w:tr>
        <w:trPr>
          <w:trHeight w:val="530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widowControl w:val="0"/>
              <w:shd w:val="clear" w:color="auto" w:fill="auto"/>
              <w:wordWrap/>
              <w:adjustRightInd/>
              <w:snapToGrid/>
              <w:spacing w:before="0"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智能化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智能化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生产技术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基于智能化的装配式建筑产品生 产与施工管理信息技术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装配式建筑产品的深化设计、材料、产品，以及施工过程中产品进场管理、现场堆场管理、施工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预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拼装管理</w:t>
            </w:r>
          </w:p>
        </w:tc>
      </w:tr>
      <w:tr>
        <w:trPr>
          <w:trHeight w:val="458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智能化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施工技术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基于大数据的项目成本分析与控 制信息技术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加强项目成本管控的工程建设项目</w:t>
            </w:r>
          </w:p>
        </w:tc>
      </w:tr>
      <w:tr>
        <w:trPr>
          <w:trHeight w:val="500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基于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5G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移动互联网的項目动态管理信息技术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2328"/>
              </w:tabs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施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工作业设备多、生产指挥管理复杂、难度大的建设项目</w:t>
            </w:r>
          </w:p>
        </w:tc>
      </w:tr>
      <w:tr>
        <w:trPr>
          <w:trHeight w:val="512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智能化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运维技术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基于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5G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物联网技术的智起建筑感知系统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能耗监测管理、智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慧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消防.智慧安防、远程抄表、楼宇自控等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</w:tr>
      <w:tr>
        <w:trPr>
          <w:trHeight w:val="426" w:hRule="exact"/>
          <w:jc w:val="center"/>
        </w:trPr>
        <w:tc>
          <w:tcPr>
            <w:tcW w:w="633" w:type="dxa"/>
            <w:vMerge w:val="continue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line="200" w:lineRule="exact"/>
              <w:ind w:left="0" w:right="0" w:firstLine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其他先进适用技术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textAlignment w:val="auto"/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sectPr>
          <w:footerReference r:id="rId5" w:type="default"/>
          <w:pgSz w:w="11906" w:h="16838"/>
          <w:pgMar w:top="1701" w:right="1474" w:bottom="1587" w:left="1587" w:header="851" w:footer="992" w:gutter="0"/>
          <w:paperSrc w:first="0" w:other="0"/>
          <w:pgNumType w:fmt="numberInDash"/>
          <w:cols w:space="0" w:num="1"/>
          <w:docGrid w:type="lines" w:linePitch="312"/>
        </w:sect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spacing w:line="578" w:lineRule="exact"/>
        <w:ind w:left="1121" w:leftChars="134" w:hanging="840" w:hangingChars="3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抄送：县委办公室，县人大常委会办公室，县政协办公室，县法院，</w:t>
      </w:r>
    </w:p>
    <w:p>
      <w:pPr>
        <w:spacing w:line="578" w:lineRule="exact"/>
        <w:ind w:left="1121" w:leftChars="534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县检察院。</w:t>
      </w:r>
    </w:p>
    <w:p>
      <w:pPr>
        <w:jc w:val="left"/>
        <w:sectPr>
          <w:footerReference r:id="rId6" w:type="default"/>
          <w:pgSz w:w="11906" w:h="16838"/>
          <w:pgMar w:top="1701" w:right="1474" w:bottom="1587" w:left="1587" w:header="851" w:footer="992" w:gutter="0"/>
          <w:paperSrc w:first="0" w:other="0"/>
          <w:pgNumType w:fmt="numberInDash"/>
          <w:cols w:space="0" w:num="1"/>
          <w:docGrid w:type="lines" w:linePitch="312"/>
        </w:sectPr>
      </w:pPr>
    </w:p>
    <w:p>
      <w:pPr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sectPr>
      <w:footerReference r:id="rId7" w:type="default"/>
      <w:pgSz w:w="11906" w:h="16838"/>
      <w:pgMar w:top="1701" w:right="1474" w:bottom="1587" w:left="1587" w:header="851" w:footer="992" w:gutter="0"/>
      <w:paperSrc w:first="0" w:other="0"/>
      <w:pgNumType w:fmt="numberInDash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Î¢ÈíÑÅºÚ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˘ČíŃĹşÚ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ОўИнСЕєЪ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ΞΆΘνΡΕΊΪ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Î¢ÈíÑÅºÚ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Xihe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Xihei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Xihei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6" style="position:absolute;left:0;margin-top:-2.95pt;height:21.1pt;width:58.65pt;mso-position-horizontal:outside;mso-position-horizontal-relative:margin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-2.95pt;height:21.1pt;width:58.65pt;mso-position-horizontal:outside;mso-position-horizontal-relative:margin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1"/>
    <w:basedOn w:val="1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pPr>
      <w:widowControl w:val="0"/>
      <w:shd w:val="clear" w:color="auto" w:fill="auto"/>
      <w:spacing w:after="55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pPr>
      <w:widowControl w:val="0"/>
      <w:shd w:val="clear" w:color="auto" w:fill="auto"/>
      <w:spacing w:after="170" w:line="226" w:lineRule="auto"/>
      <w:ind w:firstLine="360"/>
    </w:pPr>
    <w:rPr>
      <w:sz w:val="8"/>
      <w:szCs w:val="8"/>
      <w:u w:val="single"/>
      <w:shd w:val="clear" w:color="auto" w:fill="auto"/>
    </w:rPr>
  </w:style>
  <w:style w:type="paragraph" w:customStyle="1" w:styleId="8">
    <w:name w:val="Other|1"/>
    <w:basedOn w:val="1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pPr>
      <w:widowControl w:val="0"/>
      <w:shd w:val="clear" w:color="auto" w:fill="auto"/>
      <w:spacing w:before="70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2021-04-22T15:43:00Z</dcterms:created>
  <dc:creator>●﹏●</dc:creator>
  <cp:lastPrinted>2021-05-25T09:50:42Z</cp:lastPrinted>
  <dcterms:modified xsi:type="dcterms:W3CDTF">2021-05-25T09:50:45Z</dcterms:modified>
  <dc:title>●﹏●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64CCD1F9BCD54D5094B95B86B341D267</vt:lpwstr>
  </property>
</Properties>
</file>